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73 — ITC Repair ImmovableProperty</w:t>
      </w:r>
    </w:p>
    <w:p>
      <w:pPr>
        <w:jc w:val="left"/>
      </w:pPr>
      <w:r>
        <w:rPr>
          <w:rFonts w:ascii="Times New Roman" w:hAnsi="Times New Roman"/>
          <w:b w:val="0"/>
          <w:i/>
          <w:sz w:val="24"/>
        </w:rPr>
        <w:t>Statutory reference: Section 17(5).</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notice treats the input tax credit on certain repair and maintenance expenditure on the registered person’s factory building as blocked under Section 17(5)(d). That clause, read with its Explanation, blocks credit on construction-related expenditure only to the extent it is capitalised. The expenditure here was repair and maintenance charged to the profit and loss account and not capitalised; the fixed-asset block in the balance sheet is unchanged.</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