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ITCMismatch 36 4 Dynamic2A</w:t>
      </w:r>
    </w:p>
    <w:p>
      <w:pPr>
        <w:jc w:val="left"/>
      </w:pPr>
      <w:r>
        <w:rPr>
          <w:rFonts w:ascii="Times New Roman" w:hAnsi="Times New Roman"/>
          <w:b w:val="0"/>
          <w:i/>
          <w:sz w:val="24"/>
        </w:rPr>
        <w:t>Statutory reference: Section 128A, DRC-01A, GSTR-1, SPL-01.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intimation compares the GSTR-2A figure as it stands today with the credit availed and alleges an excess under Rule 36(4). That comparison is flawed: GSTR-2A is a dynamic document, and the relevant figure is the one available as on the due date of the suppliers’ GSTR-1 for the period, not the figure as on the date of the notice.</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