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GSTR3B Short LaterPaid</w:t>
      </w:r>
    </w:p>
    <w:p>
      <w:pPr>
        <w:jc w:val="left"/>
      </w:pPr>
      <w:r>
        <w:rPr>
          <w:rFonts w:ascii="Times New Roman" w:hAnsi="Times New Roman"/>
          <w:b w:val="0"/>
          <w:i/>
          <w:sz w:val="24"/>
        </w:rPr>
        <w:t>Statutory reference: Section 50(1), GSTR-3B, GSTR-1, DRC-03.</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notice alleges that, for an earlier month, the registered person reported higher outward supplies in GSTR-1 than in GSTR-3B and thus short-paid tax. The shortfall was, however, made good in a later GSTR-3B, in which the omitted supplies were additionally reported and the tax paid, together with interest under Section 50(1) discharged through FORM GST DRC-03.</w:t>
      </w:r>
    </w:p>
    <w:p>
      <w:pPr>
        <w:jc w:val="both"/>
      </w:pPr>
      <w:r>
        <w:rPr>
          <w:rFonts w:ascii="Times New Roman" w:hAnsi="Times New Roman"/>
          <w:b w:val="0"/>
          <w:i w:val="0"/>
          <w:sz w:val="24"/>
        </w:rPr>
        <w:t>The amount involved / demanded is computed at approximately Rs. 100, comprising tax, and interest and penalty as applicable under the relevant provisions of the Act.</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