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Penalty ITC NotUtilised</w:t>
      </w:r>
    </w:p>
    <w:p>
      <w:pPr>
        <w:jc w:val="left"/>
      </w:pPr>
      <w:r>
        <w:rPr>
          <w:rFonts w:ascii="Times New Roman" w:hAnsi="Times New Roman"/>
          <w:b w:val="0"/>
          <w:i/>
          <w:sz w:val="24"/>
        </w:rPr>
        <w:t>Statutory reference: Section 50(3), DRC-01, DRC-03,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penalty (and interest) on input tax credit said to have been wrongly availed in error. The credit was, however, never utilised — the balance of the electronic credit ledger never fell below the wrongly availed amount — and it has since been reversed. Under Section 50(3), interest is chargeable only on credit “wrongly availed and utilised”; no interest therefore arises, and once interest does not arise, the penalty too cannot be sustained.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