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ASMT-13</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Best Judgment Assessment Order under Section 62 — ASMT13 Sec62 Withdrawal</w:t>
      </w:r>
    </w:p>
    <w:p>
      <w:pPr>
        <w:jc w:val="left"/>
      </w:pPr>
      <w:r>
        <w:rPr>
          <w:rFonts w:ascii="Times New Roman" w:hAnsi="Times New Roman"/>
          <w:b w:val="0"/>
          <w:i/>
          <w:sz w:val="24"/>
        </w:rPr>
        <w:t>Statutory reference: Section 62, DRC-07, GSTR-3B,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w:t>
      </w:r>
    </w:p>
    <w:p>
      <w:pPr>
        <w:jc w:val="left"/>
      </w:pPr>
      <w:r>
        <w:rPr>
          <w:rFonts w:ascii="Times New Roman" w:hAnsi="Times New Roman"/>
          <w:b/>
          <w:i w:val="0"/>
          <w:sz w:val="24"/>
        </w:rPr>
        <w:t>ALLEGATIONS / GROUNDS</w:t>
      </w:r>
    </w:p>
    <w:p>
      <w:pPr>
        <w:jc w:val="both"/>
      </w:pPr>
      <w:r>
        <w:rPr>
          <w:rFonts w:ascii="Times New Roman" w:hAnsi="Times New Roman"/>
          <w:b w:val="0"/>
          <w:i w:val="0"/>
          <w:sz w:val="24"/>
        </w:rPr>
        <w:t>A best-judgment assessment order under Section 62 (FORM GST ASMT-13, with the summary in FORM GST DRC-07) was passed for non-furnishing of the return for October 2023. The registered person has since furnished the valid GSTR-3B and GSTR-1 for that period, with late fee under Section 47 and interest under Section 50. Under Section 62(2) — as amended to extend the window to sixty days — the furnishing of a valid return within sixty days of service of the order results in the order being deemed to have been withdrawn.</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