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EwayBill Excess Duplicate</w:t>
      </w:r>
    </w:p>
    <w:p>
      <w:pPr>
        <w:jc w:val="left"/>
      </w:pPr>
      <w:r>
        <w:rPr>
          <w:rFonts w:ascii="Times New Roman" w:hAnsi="Times New Roman"/>
          <w:b w:val="0"/>
          <w:i/>
          <w:sz w:val="24"/>
        </w:rPr>
        <w:t>Statutory reference: Section 73, GSTR-3B, GSTR-1, SPL-01.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against sales of Rs. 100 reported in GSTR-3B for August 2019, e-way bills of Rs. 150 were generated, and proposes tax under Section 73 on the difference of Rs. 50. The difference is not an unreported supply: a single invoice was, by a clerical / portal error, assigned two e-way bills (the first not having reflected on the portal due to a system issue, and the cancellation window having lapsed by the time it did).</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