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AppealNote ReplyNotConsidered</w:t>
      </w:r>
    </w:p>
    <w:p>
      <w:pPr>
        <w:jc w:val="left"/>
      </w:pPr>
      <w:r>
        <w:rPr>
          <w:rFonts w:ascii="Times New Roman" w:hAnsi="Times New Roman"/>
          <w:b w:val="0"/>
          <w:i/>
          <w:sz w:val="24"/>
        </w:rPr>
        <w:t>Statutory reference: Section 75(6), DRC-07, APL-01,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AppealNote ReplyNotConsidered.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