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ITC NotUtilised</w:t>
      </w:r>
    </w:p>
    <w:p>
      <w:pPr>
        <w:jc w:val="left"/>
      </w:pPr>
      <w:r>
        <w:rPr>
          <w:rFonts w:ascii="Times New Roman" w:hAnsi="Times New Roman"/>
          <w:b w:val="0"/>
          <w:i/>
          <w:sz w:val="24"/>
        </w:rPr>
        <w:t>Statutory reference: Section 107(6), APL-01, GSTR-3B,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inadvertently availed input tax credit of Rs. [____] in the return for [____]. The credit was never utilised: the balance of the electronic credit ledger never fell below that amount at any time, as the month-wise ledger extract (enclosed) demonstrates. On noticing the error, the appellant reversed the credit in the GSTR-3B for [____] / through FORM GST DRC-03 dated [____].</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