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Sec128A PendingAppeal Note</w:t>
      </w:r>
    </w:p>
    <w:p>
      <w:pPr>
        <w:jc w:val="left"/>
      </w:pPr>
      <w:r>
        <w:rPr>
          <w:rFonts w:ascii="Times New Roman" w:hAnsi="Times New Roman"/>
          <w:b w:val="0"/>
          <w:i/>
          <w:sz w:val="24"/>
        </w:rPr>
        <w:t>Statutory reference: Section 128A, DRC-07, APL-01W, SPL-02.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A demand under Section 73 for FY [____] was confirmed by order in FORM GST DRC-07 dated [____]; the registered person filed a first appeal under Section 107 on [____] (Ref. [____]), which is pending. THE SCHEME AND ITS AVAILABILITY AT THE APPEAL STAGE Section 128A (inserted by the Finance (No. 2) Act, 2024, and brought into force on 1 November 2024 by Notification No.</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