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REG16 Cancellation PendingDues</w:t>
      </w:r>
    </w:p>
    <w:p>
      <w:pPr>
        <w:jc w:val="left"/>
      </w:pPr>
      <w:r>
        <w:rPr>
          <w:rFonts w:ascii="Times New Roman" w:hAnsi="Times New Roman"/>
          <w:b w:val="0"/>
          <w:i/>
          <w:sz w:val="24"/>
        </w:rPr>
        <w:t>Statutory reference: Section 29(3), REG-19.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 applied in FORM GST REG-16 for cancellation of its registration on [____] (reason: [____]). The notice proposes to reject / keep the application pending because an assessment / recovery is pending. That is not a permissible course. The grounds for refusing cancellation are those in Section 29 read with Rule 21/22; a pending assessment or pending dues is not among them.</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