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SPL02 Annexure 128A</w:t>
      </w:r>
    </w:p>
    <w:p>
      <w:pPr>
        <w:jc w:val="left"/>
      </w:pPr>
      <w:r>
        <w:rPr>
          <w:rFonts w:ascii="Times New Roman" w:hAnsi="Times New Roman"/>
          <w:b w:val="0"/>
          <w:i/>
          <w:sz w:val="24"/>
        </w:rPr>
        <w:t>Statutory reference: Section 128A, SPL-02, DRC-03, DRC-03A.</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On verification of the returns and records furnished by you, discrepancies have been noticed in relation to: SPL02 Annexure 128A.</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