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S129 Detention Classification Dispute</w:t>
      </w:r>
    </w:p>
    <w:p>
      <w:pPr>
        <w:jc w:val="left"/>
      </w:pPr>
      <w:r>
        <w:rPr>
          <w:rFonts w:ascii="Times New Roman" w:hAnsi="Times New Roman"/>
          <w:b w:val="0"/>
          <w:i/>
          <w:sz w:val="24"/>
        </w:rPr>
        <w:t>Statutory reference: Section 129(3), MOV-07.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goods and the conveyance were detained, and a notice in Form GST MOV-07 under Section 129(3) issued, on the sole ground that the classification of the goods adopted by the Company is ‘not proper / correct’. The detention is without jurisdiction. The movement was covered by a proper tax invoice and e-way bill clearly describing the goods; a classification dispute — a bona fide difference of opinion on the applicable HSN / rate — is a matter for adjudication and assessment, not a ground for detaining goods in transit.</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