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MOV-07</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Notice for Detention of Goods and Conveyance under Section 129 — S129 Detention Wrong Destination</w:t>
      </w:r>
    </w:p>
    <w:p>
      <w:pPr>
        <w:jc w:val="left"/>
      </w:pPr>
      <w:r>
        <w:rPr>
          <w:rFonts w:ascii="Times New Roman" w:hAnsi="Times New Roman"/>
          <w:b w:val="0"/>
          <w:i/>
          <w:sz w:val="24"/>
        </w:rPr>
        <w:t>Statutory reference: Section 129(3), MOV-07.</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The goods and conveyance described below, found moving without proper and complete documents as required under the Act and the Rules made thereunder, have been detained/seized under Section 129 of the Act.</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goods and the conveyance were detained, and a notice in Form GST MOV-07 under Section 129(3) issued, on the ground that the conveyance was found heading to a ‘wrong destination’ — that is, to a place other than the billed address. There is no dispute as to the tax invoice or the e-way bill, both of which accompanied the goods.</w:t>
      </w:r>
    </w:p>
    <w:p>
      <w:pPr>
        <w:jc w:val="left"/>
      </w:pPr>
      <w:r>
        <w:rPr>
          <w:rFonts w:ascii="Times New Roman" w:hAnsi="Times New Roman"/>
          <w:b/>
          <w:i w:val="0"/>
          <w:sz w:val="24"/>
        </w:rPr>
        <w:t>DIRECTION</w:t>
      </w:r>
    </w:p>
    <w:p>
      <w:pPr>
        <w:jc w:val="both"/>
      </w:pPr>
      <w:r>
        <w:rPr>
          <w:rFonts w:ascii="Times New Roman" w:hAnsi="Times New Roman"/>
          <w:b w:val="0"/>
          <w:i w:val="0"/>
          <w:sz w:val="24"/>
        </w:rPr>
        <w:t>You are directed to show cause within seven days of this notice as to why tax and penalty as computed should not be levied under Section 129, failing which proceedings for confiscation under Section 130 may be initiated.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(Proper Officer (Mobile Squad))</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