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S16(2)(c) Supplier NonDeposit of Tax</w:t>
      </w:r>
    </w:p>
    <w:p>
      <w:pPr>
        <w:jc w:val="left"/>
      </w:pPr>
      <w:r>
        <w:rPr>
          <w:rFonts w:ascii="Times New Roman" w:hAnsi="Times New Roman"/>
          <w:b w:val="0"/>
          <w:i/>
          <w:sz w:val="24"/>
        </w:rPr>
        <w:t>Statutory reference: Section 16(2)(c), GSTR-3B.</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Proposes to reverse the Company’s input tax credit, with interest and penalty, under Section 16(2)(c), on the ground that the Company’s supplier did not deposit the tax or did not file its GSTR-3B. The Company is a bona fide recipient: it holds valid tax invoices, received the supplies, and paid its suppliers including tax through banking channels; the credit was duly reflected in its electronic credit ledger and in GSTR-2A.</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