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Unblock ITC after DRC03 FakeInvoice</w:t>
      </w:r>
    </w:p>
    <w:p>
      <w:pPr>
        <w:jc w:val="left"/>
      </w:pPr>
      <w:r>
        <w:rPr>
          <w:rFonts w:ascii="Times New Roman" w:hAnsi="Times New Roman"/>
          <w:b w:val="0"/>
          <w:i/>
          <w:sz w:val="24"/>
        </w:rPr>
        <w:t>Statutory reference: Section 74, DRC-03,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In a fake-invoice / non-existent-supplier matter under Section 74, the Department has blocked the Company’s Electronic Credit Ledger under Rule 86A and the Company has deposited the disputed amount through Form GST DRC-03. The Company seeks unblocking of the ledger. The Company is a bona fide recipient that holds valid tax invoices, received the goods, and paid its supplier including tax through banking channels.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