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ASMT-13</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Best Judgment Assessment Order under Section 62 — Defer Recovery after S62 ASMT13</w:t>
      </w:r>
    </w:p>
    <w:p>
      <w:pPr>
        <w:jc w:val="left"/>
      </w:pPr>
      <w:r>
        <w:rPr>
          <w:rFonts w:ascii="Times New Roman" w:hAnsi="Times New Roman"/>
          <w:b w:val="0"/>
          <w:i/>
          <w:sz w:val="24"/>
        </w:rPr>
        <w:t>Statutory reference: Section 62, DRC-07.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Department has passed a best-judgment assessment order in Form GST ASMT-13 under Section 62 for non-filing of a return, with a consequent demand in Form GST DRC-07. Owing to unavoidable circumstances, the Company could not file the return within thirty days of service of the order, so the deemed-withdrawal facility under Section 62(2) is no longer available.</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