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Refund VKC Inverted Duty SCN Objection</w:t>
      </w:r>
    </w:p>
    <w:p>
      <w:pPr>
        <w:jc w:val="left"/>
      </w:pPr>
      <w:r>
        <w:rPr>
          <w:rFonts w:ascii="Times New Roman" w:hAnsi="Times New Roman"/>
          <w:b w:val="0"/>
          <w:i/>
          <w:sz w:val="24"/>
        </w:rPr>
        <w:t>Statutory reference: Section 107(2), RFD-06.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was granted a refund of accumulated input tax credit in an inverted-duty-structure claim under Section 54 read with Rule 89. By the Impugned SCN the Department now seeks to question that refund, on the strength of a purported objection by the Commissioner under Section 107(2). The Impugned SCN is without authority of law.</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