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DRC-01A / System Intimation</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Intimation of Liability / Departmental Communication — Parallel Proceedings S6(2)(b) Summons</w:t>
      </w:r>
    </w:p>
    <w:p>
      <w:pPr>
        <w:jc w:val="left"/>
      </w:pPr>
      <w:r>
        <w:rPr>
          <w:rFonts w:ascii="Times New Roman" w:hAnsi="Times New Roman"/>
          <w:b w:val="0"/>
          <w:i/>
          <w:sz w:val="24"/>
        </w:rPr>
        <w:t>Statutory reference: Section 70.</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Company has received a summons under Section 70 from the State tax administration requiring production of documents and details. The Central tax administration has, however, already searched the Company's premises and seized the very documents now summoned, under a panchnama / seizure memo. The Company's primary answer is one of simple impossibility: the documents are in the Central administration's custody, and the Company can at best furnish the copies it is entitled to under Section 67(5).</w:t>
      </w:r>
    </w:p>
    <w:p>
      <w:pPr>
        <w:jc w:val="left"/>
      </w:pPr>
      <w:r>
        <w:rPr>
          <w:rFonts w:ascii="Times New Roman" w:hAnsi="Times New Roman"/>
          <w:b/>
          <w:i w:val="0"/>
          <w:sz w:val="24"/>
        </w:rPr>
        <w:t>DIRECTION</w:t>
      </w:r>
    </w:p>
    <w:p>
      <w:pPr>
        <w:jc w:val="both"/>
      </w:pPr>
      <w:r>
        <w:rPr>
          <w:rFonts w:ascii="Times New Roman" w:hAnsi="Times New Roman"/>
          <w:b w:val="0"/>
          <w:i w:val="0"/>
          <w:sz w:val="24"/>
        </w:rPr>
        <w:t>This intimation is issued for your information and necessary compliance. Where a response or corrective filing is warranted, you are requested to act within the time permitted under the relevant provision.</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