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Order-in-Original / Summary of the Order Confirming Demand — Expired Eway Bill S129 APL01</w:t>
      </w:r>
    </w:p>
    <w:p>
      <w:pPr>
        <w:jc w:val="left"/>
      </w:pPr>
      <w:r>
        <w:rPr>
          <w:rFonts w:ascii="Times New Roman" w:hAnsi="Times New Roman"/>
          <w:b w:val="0"/>
          <w:i/>
          <w:sz w:val="24"/>
        </w:rPr>
        <w:t>Statutory reference: Section 107, APL-01, MOV-07, MOV-09.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Adjudicating Authority:</w:t>
      </w:r>
    </w:p>
    <w:p>
      <w:pPr>
        <w:jc w:val="left"/>
      </w:pPr>
      <w:r>
        <w:rPr>
          <w:rFonts w:ascii="Times New Roman" w:hAnsi="Times New Roman"/>
          <w:b/>
          <w:i w:val="0"/>
          <w:sz w:val="24"/>
        </w:rPr>
        <w:t>ALLEGATIONS / GROUNDS</w:t>
      </w:r>
    </w:p>
    <w:p>
      <w:pPr>
        <w:jc w:val="both"/>
      </w:pPr>
      <w:r>
        <w:rPr>
          <w:rFonts w:ascii="Times New Roman" w:hAnsi="Times New Roman"/>
          <w:b w:val="0"/>
          <w:i w:val="0"/>
          <w:sz w:val="24"/>
        </w:rPr>
        <w:t>M/s Noticedesk Technologies Private Limited (the “Appellant”) files this appeal against the Order-in-Original in Form GST MOV-09, Reference No. [____] dated [____] (the “Impugned Order”), passed under Section 129(3) (copy at Annexure 1). The facts are these. The transaction is genuine and fully documented: the invoice, the e-way bill (generated in time and expired only in transit), the transporter’s records and the physical-verification report all match.</w:t>
      </w:r>
    </w:p>
    <w:p>
      <w:pPr>
        <w:jc w:val="both"/>
      </w:pPr>
      <w:r>
        <w:rPr>
          <w:rFonts w:ascii="Times New Roman" w:hAnsi="Times New Roman"/>
          <w:b w:val="0"/>
          <w:i w:val="0"/>
          <w:sz w:val="24"/>
        </w:rPr>
        <w:t>The amount involved / demanded is computed at approximately Rs. 4,71,336,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(Adjudicating Authority)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