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Bank Attachment Release Immovable Undertaking</w:t>
      </w:r>
    </w:p>
    <w:p>
      <w:pPr>
        <w:jc w:val="left"/>
      </w:pPr>
      <w:r>
        <w:rPr>
          <w:rFonts w:ascii="Times New Roman" w:hAnsi="Times New Roman"/>
          <w:b w:val="0"/>
          <w:i/>
          <w:sz w:val="24"/>
        </w:rPr>
        <w:t>Statutory reference: Section 83, DRC-22.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Upon issuance of a Show Cause Notice under Section 73/74, the Department has provisionally attached the Company’s bank accounts under Section 83 — the Company learning of the debit-freeze from its bank. The Company objects under Rule 159(5). The attachment of the operating bank accounts of a running business is the most drastic form the Section 83 power can take, and the Supreme Court has confined that power to cases of demonstrated necessity on tangible material, exercised proportionately.</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