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Revocation Cancellation Rule10A Bank Details</w:t>
      </w:r>
    </w:p>
    <w:p>
      <w:pPr>
        <w:jc w:val="left"/>
      </w:pPr>
      <w:r>
        <w:rPr>
          <w:rFonts w:ascii="Times New Roman" w:hAnsi="Times New Roman"/>
          <w:b w:val="0"/>
          <w:i/>
          <w:sz w:val="24"/>
        </w:rPr>
        <w:t>Statutory reference: Section 30, REG-21, REG-17, REG-19.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Company’s registration has been cancelled for a single, wholly procedural default: bank account details were not furnished on the portal within the time prescribed by Rule 10A. The Show Cause Notice in Form GST REG-17 was uploaded only on the portal; the Company, not having logged in during the period, learnt of the proceeding only from the cancellation communication.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