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SCN beyond scope of authority of PO</w:t>
      </w:r>
    </w:p>
    <w:p>
      <w:pPr>
        <w:jc w:val="left"/>
      </w:pPr>
      <w:r>
        <w:rPr>
          <w:rFonts w:ascii="Times New Roman" w:hAnsi="Times New Roman"/>
          <w:b w:val="0"/>
          <w:i/>
          <w:sz w:val="24"/>
        </w:rPr>
        <w:t>Statutory reference: Section 125,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Show Cause Notice has been issued by the Superintendent of Central Tax. The Superintendent is not the proper officer assigned the function of invoking general penalty under Section 127. The notice is therefore without jurisdiction and unsustainable.</w:t>
      </w:r>
    </w:p>
    <w:p>
      <w:pPr>
        <w:jc w:val="both"/>
      </w:pPr>
      <w:r>
        <w:rPr>
          <w:rFonts w:ascii="Times New Roman" w:hAnsi="Times New Roman"/>
          <w:b w:val="0"/>
          <w:i w:val="0"/>
          <w:sz w:val="24"/>
        </w:rPr>
        <w:t>The amount involved / demanded is computed at approximately Rs. 50,000,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