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ASMT-13</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Best Judgment Assessment Order under Section 62 — Return filed after S62 BJA deemed withdrawal</w:t>
      </w:r>
    </w:p>
    <w:p>
      <w:pPr>
        <w:jc w:val="left"/>
      </w:pPr>
      <w:r>
        <w:rPr>
          <w:rFonts w:ascii="Times New Roman" w:hAnsi="Times New Roman"/>
          <w:b w:val="0"/>
          <w:i/>
          <w:sz w:val="24"/>
        </w:rPr>
        <w:t>Statutory reference: Section 62).</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This is to inform you that, on adjudication of the proceedings referred to above, the following order has been passed by the Proper Officer:</w:t>
      </w:r>
    </w:p>
    <w:p>
      <w:pPr>
        <w:jc w:val="left"/>
      </w:pPr>
      <w:r>
        <w:rPr>
          <w:rFonts w:ascii="Times New Roman" w:hAnsi="Times New Roman"/>
          <w:b/>
          <w:i w:val="0"/>
          <w:sz w:val="24"/>
        </w:rPr>
        <w:t>ALLEGATIONS / GROUNDS</w:t>
      </w:r>
    </w:p>
    <w:p>
      <w:pPr>
        <w:jc w:val="both"/>
      </w:pPr>
      <w:r>
        <w:rPr>
          <w:rFonts w:ascii="Times New Roman" w:hAnsi="Times New Roman"/>
          <w:b w:val="0"/>
          <w:i w:val="0"/>
          <w:sz w:val="24"/>
        </w:rPr>
        <w:t>Following a best-judgment assessment under Section 62(1), the noticee has furnished the valid return within the period prescribed by Section 62(2). The assessment order is therefore deemed to have been withdrawn by operation of law. This letter places the fact on record and requests that no recovery or adjustment be made pursuant to the withdrawn order.</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