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Conditions for taking ITC under Section 16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16, GSTR-1, GSTR-3B.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Conditions for taking ITC under Section 16.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