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ITC mismatch 2A vs 3B due to IGST on import</w:t>
      </w:r>
    </w:p>
    <w:p>
      <w:pPr>
        <w:jc w:val="left"/>
      </w:pPr>
      <w:r>
        <w:rPr>
          <w:rFonts w:ascii="Times New Roman" w:hAnsi="Times New Roman"/>
          <w:b w:val="0"/>
          <w:i/>
          <w:sz w:val="24"/>
        </w:rPr>
        <w:t>Statutory reference: Section 37(1), DRC-01, GSTR-3B.</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difference between GSTR-3B and GSTR-2A is wholly attributable to IGST paid on the import of goods, which the noticee availed on the strength of the bills of entry. Such credit is valid and is not subject to the GSTR-2A matching restriction, which by its terms applies only to supplier-uploaded invoices under Section 37(1).</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