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Rule 86A blocking without reasons or hearing</w:t>
      </w:r>
    </w:p>
    <w:p>
      <w:pPr>
        <w:jc w:val="left"/>
      </w:pPr>
      <w:r>
        <w:rPr>
          <w:rFonts w:ascii="Times New Roman" w:hAnsi="Times New Roman"/>
          <w:b w:val="0"/>
          <w:i/>
          <w:sz w:val="24"/>
        </w:rPr>
        <w:t>Statutory reference: ASMT-10.</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electronic credit ledger has been blocked under Rule 86A without any reasons to believe recorded in writing and without a pre-decisional hearing. Each of these is, by itself, fatal to the exercise of this drastic power. The blocking is therefore unsustainable and ought to be lifted.</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