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Common credit reversal Rule 42 43 for trader</w:t>
      </w:r>
    </w:p>
    <w:p>
      <w:pPr>
        <w:jc w:val="left"/>
      </w:pPr>
      <w:r>
        <w:rPr>
          <w:rFonts w:ascii="Times New Roman" w:hAnsi="Times New Roman"/>
          <w:b w:val="0"/>
          <w:i/>
          <w:sz w:val="24"/>
        </w:rPr>
        <w:t>Statutory reference: Section 17(2), DRC-01A.</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Reversal under Rule 42 is required only of common input tax credit — that is, credit on inputs and input services used for both taxable and exempt supplies. The noticee’s inputs are either used exclusively for taxable supplies, or the credit attributable to exempt supplies has been separately identified and not availed. In any event, the proposed reversal has not been computed in accordance with the statutory formula and is therefore unsustainable.</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