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Tax already paid vide DRC-03 before SCN</w:t>
      </w:r>
    </w:p>
    <w:p>
      <w:pPr>
        <w:jc w:val="left"/>
      </w:pPr>
      <w:r>
        <w:rPr>
          <w:rFonts w:ascii="Times New Roman" w:hAnsi="Times New Roman"/>
          <w:b w:val="0"/>
          <w:i/>
          <w:sz w:val="24"/>
        </w:rPr>
        <w:t>Statutory reference: ASMT-10, DRC-01A,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There is no surviving discrepancy. The tax said to be short-paid was discharged through Form GST DRC-03 before the issuance of the notice, as the records of this office show. The instruction governing scrutiny requires such payments to be taken into account and the scrutiny to be dropped. The proceedings ought accordingly to be closed by acceptance in Form GST ASMT-12.</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