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ITC availed more than GSTR-2B supplier late GSTR-1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50(3), GSTR-3B, GSTR-1.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difference between the input tax credit taken in Form GSTR-3B and that reflected in Form GSTR-2B for the month in question arises solely because the supplier filed its Form GSTR-1 belatedly. The credit is genuine — the noticee holds valid invoices, has received the goods and has paid the supplier including tax — and legitimately becomes available in the succeeding month’s Form GSTR-2B.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