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RFD-08</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Rejection of Refund Claim — Export refund rejected wrong reporting in GSTR-3B</w:t>
      </w:r>
    </w:p>
    <w:p>
      <w:pPr>
        <w:jc w:val="left"/>
      </w:pPr>
      <w:r>
        <w:rPr>
          <w:rFonts w:ascii="Times New Roman" w:hAnsi="Times New Roman"/>
          <w:b w:val="0"/>
          <w:i/>
          <w:sz w:val="24"/>
        </w:rPr>
        <w:t>Statutory reference: Section 56, RFD-08, GSTR-3B,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(Refunds)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refund is of accumulated input tax credit on a genuine export (zero-rated supply), supported by the shipping bill and the export documents. The only objection is that, in Form GSTR-3B, the turnover was inadvertently shown under the wrong head. This is a clerical error, incapable of correction because Form GSTR-3B carries no revision facility, and it cannot defeat the substantive entitlement to refund.</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(Refunds))</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