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Section 64 summary assessment used to demand documents</w:t>
      </w:r>
    </w:p>
    <w:p>
      <w:pPr>
        <w:jc w:val="left"/>
      </w:pPr>
      <w:r>
        <w:rPr>
          <w:rFonts w:ascii="Times New Roman" w:hAnsi="Times New Roman"/>
          <w:b w:val="0"/>
          <w:i/>
          <w:sz w:val="24"/>
        </w:rPr>
        <w:t>Statutory reference: Section 64), ASMT-10, DRC-07.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communication invokes Section 64 and calls for documents ‘for the purpose of assessment’. Section 64 does not contemplate any such exercise. It is an exceptional, protective provision under which the proper officer, on evidence of a tax liability already coming to his notice and with the prior permission of the Additional or Joint Commissioner, may proceed to an immediate assessment to protect the revenue.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