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REG-17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for Cancellation of Registration — REG-17 cancellation alleging fraud without particulars</w:t>
      </w:r>
    </w:p>
    <w:p>
      <w:pPr>
        <w:jc w:val="left"/>
      </w:pPr>
      <w:r>
        <w:rPr>
          <w:rFonts w:ascii="Times New Roman" w:hAnsi="Times New Roman"/>
          <w:b w:val="0"/>
          <w:i/>
          <w:sz w:val="24"/>
        </w:rPr>
        <w:t>Statutory reference: Section 29(2)(e), REG-17.</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proposes cancellation on the ground that registration was obtained by fraud, wilful misstatement or suppression of facts, but states nothing about how or why that is alleged, and discloses no supporting material. A notice that merely reproduces the language of Section 29(2)(e), without the facts constituting the alleged fraud, is vague and denies the noticee any meaningful opportunity to respond.</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