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on capital goods TV fridge mobile business use</w:t>
      </w:r>
    </w:p>
    <w:p>
      <w:pPr>
        <w:jc w:val="left"/>
      </w:pPr>
      <w:r>
        <w:rPr>
          <w:rFonts w:ascii="Times New Roman" w:hAnsi="Times New Roman"/>
          <w:b w:val="0"/>
          <w:i/>
          <w:sz w:val="24"/>
        </w:rPr>
        <w:t>Statutory reference: Section 16(1), DRC-01, ASMT-10.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input tax credit disallowed is on goods — a television, a refrigerator and a mobile phone — acquired and used for the noticee’s business. These items are not among the credits blocked by Section 17(5); credit on them is governed by the general entitlement in Section 16(1), which permits credit on goods used or intended to be used in the course or furtherance of business.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