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RFD-08</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Rejection of Refund Claim — Inverted duty refund rejected trading more than manufacture</w:t>
      </w:r>
    </w:p>
    <w:p>
      <w:pPr>
        <w:jc w:val="left"/>
      </w:pPr>
      <w:r>
        <w:rPr>
          <w:rFonts w:ascii="Times New Roman" w:hAnsi="Times New Roman"/>
          <w:b w:val="0"/>
          <w:i/>
          <w:sz w:val="24"/>
        </w:rPr>
        <w:t>Statutory reference: Section 54(3)(ii), RFD-08.</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(Refunds)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refund is of accumulated input tax credit arising because the rate of tax on the noticee’s inputs is higher than that on its output supplies — an inverted duty structure. The refund is governed by Section 54(3)(ii) read with Rule 89(5). Neither provision requires the claimant to be a manufacturer; the proportion of trading to manufacturing turnover is irrelevant to the entitlement.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(Refunds))</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