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Garnishee DRC-13 where nothing owed to defaulter</w:t>
      </w:r>
    </w:p>
    <w:p>
      <w:pPr>
        <w:jc w:val="left"/>
      </w:pPr>
      <w:r>
        <w:rPr>
          <w:rFonts w:ascii="Times New Roman" w:hAnsi="Times New Roman"/>
          <w:b w:val="0"/>
          <w:i/>
          <w:sz w:val="24"/>
        </w:rPr>
        <w:t>Statutory reference: Section 79(1)(c).</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garnishee notice proceeds on the footing that the noticee owes money to the defaulter, M/s ________. It does not. The noticee’s purchases from the defaulter have been paid in full, and there is no outstanding amount payable by the noticee to the defaulter as on date. A garnishee under Section 79(1)(c) can attach only money that is due, or may become due, from the third person to the defaulter; there being none, nothing can be recovered from the noticee.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