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2A vs 3B ITC supplier reported B2B as B2C</w:t>
      </w:r>
    </w:p>
    <w:p>
      <w:pPr>
        <w:jc w:val="left"/>
      </w:pPr>
      <w:r>
        <w:rPr>
          <w:rFonts w:ascii="Times New Roman" w:hAnsi="Times New Roman"/>
          <w:b w:val="0"/>
          <w:i/>
          <w:sz w:val="24"/>
        </w:rPr>
        <w:t>Statutory reference: Section 73, ASMT-10,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difference between the input tax credit availed and that appearing in Form GSTR-2A arises because the supplier, though it issued a B2B tax invoice bearing the noticee’s GSTIN and paid the tax to the Government, wrongly reported the supply as B2C in its Form GSTR-1, so that it did not populate the noticee’s Form GSTR-2A.</w:t>
      </w:r>
    </w:p>
    <w:p>
      <w:pPr>
        <w:jc w:val="both"/>
      </w:pPr>
      <w:r>
        <w:rPr>
          <w:rFonts w:ascii="Times New Roman" w:hAnsi="Times New Roman"/>
          <w:b w:val="0"/>
          <w:i w:val="0"/>
          <w:sz w:val="24"/>
        </w:rPr>
        <w:t>The amount involved / demanded is computed at approximately Rs.5,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