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GSTR-1 vs 3B mismatch reconciled via GSTR-9 and DRC-03</w:t>
      </w:r>
    </w:p>
    <w:p>
      <w:pPr>
        <w:jc w:val="left"/>
      </w:pPr>
      <w:r>
        <w:rPr>
          <w:rFonts w:ascii="Times New Roman" w:hAnsi="Times New Roman"/>
          <w:b w:val="0"/>
          <w:i/>
          <w:sz w:val="24"/>
        </w:rPr>
        <w:t>Statutory reference: Section 73(5), ASMT-10, DRC-01,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difference between Form GSTR-1 and Form GSTR-3B arises from a single supply of February 2019 that was, by a technical error, omitted from both returns at the time of filing. The omission was detected on reconciliation for the Annual Return; the supply was disclosed in Form GSTR-9 and the tax due, together with interest at eighteen per cent, was paid through Form GST DRC-03.</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