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Detention MOV-07 penalty quantum under Section 129</w:t>
      </w:r>
    </w:p>
    <w:p>
      <w:pPr>
        <w:jc w:val="left"/>
      </w:pPr>
      <w:r>
        <w:rPr>
          <w:rFonts w:ascii="Times New Roman" w:hAnsi="Times New Roman"/>
          <w:b w:val="0"/>
          <w:i/>
          <w:sz w:val="24"/>
        </w:rPr>
        <w:t>Statutory reference: Section 129, MOV-07, MOV-09.</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proposes a penalty computed on the value of the goods. That is not the measure the statute prescribes. For a detention of the present kind, where the owner of the goods has come forward, Section 129(1)(a) fixes the penalty by reference to the tax payable on the goods, and not as a percentage of their value. The proposed computation is contrary to Section 129 as it stands.</w:t>
      </w:r>
    </w:p>
    <w:p>
      <w:pPr>
        <w:jc w:val="both"/>
      </w:pPr>
      <w:r>
        <w:rPr>
          <w:rFonts w:ascii="Times New Roman" w:hAnsi="Times New Roman"/>
          <w:b w:val="0"/>
          <w:i w:val="0"/>
          <w:sz w:val="24"/>
        </w:rPr>
        <w:t>The amount involved / demanded is computed at approximately Rs.25,000,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