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240"/>
          <w:sz w:val="44"/>
        </w:rPr>
        <w:t>NOTICEDESK GST DRAFTING ENGINE</w:t>
      </w:r>
    </w:p>
    <w:p>
      <w:pPr>
        <w:jc w:val="center"/>
      </w:pPr>
      <w:r>
        <w:rPr>
          <w:i/>
          <w:color w:val="46505F"/>
          <w:sz w:val="28"/>
        </w:rPr>
        <w:t>3-Tier Cascade Architecture &amp; Automated Testing Strategy Report</w:t>
      </w:r>
    </w:p>
    <w:p/>
    <w:p>
      <w:pPr>
        <w:spacing w:before="280" w:after="120"/>
      </w:pPr>
      <w:r>
        <w:rPr>
          <w:b/>
          <w:color w:val="0F2240"/>
          <w:sz w:val="30"/>
        </w:rPr>
        <w:t>1. Executive Summary</w:t>
      </w:r>
    </w:p>
    <w:p>
      <w:pPr>
        <w:spacing w:after="120" w:line="276" w:lineRule="auto"/>
      </w:pPr>
      <w:r>
        <w:rPr>
          <w:color w:val="282828"/>
          <w:sz w:val="21"/>
        </w:rPr>
        <w:t>NoticeDesk is an enterprise-grade litigation operating system engineered for Indian Chartered Accountancy and legal practices. The core drafting engine automates the generation of filing-grade replies to GST Show Cause Notices (SCNs), audit objections, and assessment orders. To optimize cost, execution latency, and legal precision, NoticeDesk employs a 3-Tier Cascade Architecture that intelligently routes incoming notices based on similarity matching against a 301-pair GST corpus, vector RAG retrieval, and Claude LLM generation.</w:t>
      </w:r>
    </w:p>
    <w:p>
      <w:pPr>
        <w:spacing w:before="280" w:after="120"/>
      </w:pPr>
      <w:r>
        <w:rPr>
          <w:b/>
          <w:color w:val="0F2240"/>
          <w:sz w:val="30"/>
        </w:rPr>
        <w:t>2. 3-Tier Cascade Routing Architecture</w:t>
      </w:r>
    </w:p>
    <w:p>
      <w:pPr>
        <w:spacing w:after="120" w:line="276" w:lineRule="auto"/>
      </w:pPr>
      <w:r>
        <w:rPr>
          <w:color w:val="282828"/>
          <w:sz w:val="21"/>
        </w:rPr>
        <w:t>The classification engine (GstCorpusMatcherService) evaluates incoming GST notice OCR and parsed metadata against NoticeDesk's 301 paired corpus records (NoticeDesk GST Corpus 1-300 Paired) using three distinct execution paths:</w:t>
      </w:r>
    </w:p>
    <w:p>
      <w:pPr>
        <w:spacing w:before="200" w:after="80"/>
      </w:pPr>
      <w:r>
        <w:rPr>
          <w:b/>
          <w:color w:val="284673"/>
          <w:sz w:val="24"/>
        </w:rPr>
        <w:t>Tier 1: Fast-Track Direct Match (Similarity &gt;= 90%)</w:t>
      </w:r>
    </w:p>
    <w:p>
      <w:pPr>
        <w:spacing w:after="120" w:line="276" w:lineRule="auto"/>
      </w:pPr>
      <w:r>
        <w:rPr>
          <w:color w:val="282828"/>
          <w:sz w:val="21"/>
        </w:rPr>
        <w:t xml:space="preserve"> When an incoming notice matches an existing corpus notice with &gt;= 90% confidence, the system bypasses expensive LLM calls. The Fast-Track Engine (GstTemplateFillerService) extracts the pre-verified corpus .docx template and programmatically replaces placeholders (GSTIN, PAN, Legal Name, Notice Number, DIN, Authority, Issue Date, State) across all 15 standard legal sections using Apache POI. Result: Zero LLM token cost and sub-second (&lt;1s) latency.</w:t>
      </w:r>
    </w:p>
    <w:p>
      <w:pPr>
        <w:spacing w:before="200" w:after="80"/>
      </w:pPr>
      <w:r>
        <w:rPr>
          <w:b/>
          <w:color w:val="284673"/>
          <w:sz w:val="24"/>
        </w:rPr>
        <w:t>Tier 2: Novel Notice Handling (RAG Score &lt; 70% &amp; Post-Draft Auto-Caching)</w:t>
      </w:r>
    </w:p>
    <w:p>
      <w:pPr>
        <w:spacing w:after="120" w:line="276" w:lineRule="auto"/>
      </w:pPr>
      <w:r>
        <w:rPr>
          <w:color w:val="282828"/>
          <w:sz w:val="21"/>
        </w:rPr>
        <w:t xml:space="preserve"> When a notice presents rare or unprecedented legal issues with no matching precedent (&lt; 70% similarity), the system routes the notice directly to Claude LLM via DraftingAgent and the drafting_v4 system prompt. After generating a fresh 15-section draft, the system automatically caches the generated output back into the RAG vector store (RagStoreService.cacheNovelDraft) under legal_chunks. This ensures future similar notices hit Tier 1 or Tier 3.</w:t>
      </w:r>
    </w:p>
    <w:p>
      <w:pPr>
        <w:spacing w:before="200" w:after="80"/>
      </w:pPr>
      <w:r>
        <w:rPr>
          <w:b/>
          <w:color w:val="284673"/>
          <w:sz w:val="24"/>
        </w:rPr>
        <w:t>Tier 3: Hybrid Multi-Issue Notice Handling (Similarity 70% - 89%)</w:t>
      </w:r>
    </w:p>
    <w:p>
      <w:pPr>
        <w:spacing w:after="120" w:line="276" w:lineRule="auto"/>
      </w:pPr>
      <w:r>
        <w:rPr>
          <w:color w:val="282828"/>
          <w:sz w:val="21"/>
        </w:rPr>
        <w:t xml:space="preserve"> For hybrid notices combining multiple legal issues (e.g., Section 129 detention combined with E-way bill breakdown), the system seeds all 301 corpus pairs into the RAG vector store via CorpusRagSeederService. It retrieves matching legal chunks and passes them to Claude solely for formatting, legal synthesis, and section alignment, avoiding unguided generation from scratch.</w:t>
      </w:r>
    </w:p>
    <w:p>
      <w:pPr>
        <w:spacing w:before="280" w:after="120"/>
      </w:pPr>
      <w:r>
        <w:rPr>
          <w:b/>
          <w:color w:val="0F2240"/>
          <w:sz w:val="30"/>
        </w:rPr>
        <w:t>3. Standard 15-Section Legal Framework</w:t>
      </w:r>
    </w:p>
    <w:p>
      <w:pPr>
        <w:spacing w:after="120" w:line="276" w:lineRule="auto"/>
      </w:pPr>
      <w:r>
        <w:rPr>
          <w:color w:val="282828"/>
          <w:sz w:val="21"/>
        </w:rPr>
        <w:t>All output drafts generated across all three tiers strictly adhere to the professional 15-section GST litigation structure defined in drafting_v4.md:</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0F2240"/>
          </w:tcPr>
          <w:p>
            <w:r>
              <w:rPr>
                <w:b/>
                <w:color w:val="FFFFFF"/>
                <w:sz w:val="19"/>
              </w:rPr>
              <w:t>#</w:t>
            </w:r>
          </w:p>
        </w:tc>
        <w:tc>
          <w:tcPr>
            <w:tcW w:type="dxa" w:w="3312"/>
            <w:shd w:val="clear" w:color="auto" w:fill="0F2240"/>
          </w:tcPr>
          <w:p>
            <w:r>
              <w:rPr>
                <w:b/>
                <w:color w:val="FFFFFF"/>
                <w:sz w:val="19"/>
              </w:rPr>
              <w:t>Section Title</w:t>
            </w:r>
          </w:p>
        </w:tc>
        <w:tc>
          <w:tcPr>
            <w:tcW w:type="dxa" w:w="3312"/>
            <w:shd w:val="clear" w:color="auto" w:fill="0F2240"/>
          </w:tcPr>
          <w:p>
            <w:r>
              <w:rPr>
                <w:b/>
                <w:color w:val="FFFFFF"/>
                <w:sz w:val="19"/>
              </w:rPr>
              <w:t>Legal Purpose &amp; Contents</w:t>
            </w:r>
          </w:p>
        </w:tc>
      </w:tr>
      <w:tr>
        <w:tc>
          <w:tcPr>
            <w:tcW w:type="dxa" w:w="3312"/>
          </w:tcPr>
          <w:p>
            <w:r>
              <w:rPr>
                <w:sz w:val="17"/>
              </w:rPr>
              <w:t>1</w:t>
            </w:r>
          </w:p>
        </w:tc>
        <w:tc>
          <w:tcPr>
            <w:tcW w:type="dxa" w:w="3312"/>
          </w:tcPr>
          <w:p>
            <w:r>
              <w:rPr>
                <w:sz w:val="17"/>
              </w:rPr>
              <w:t>Addressee &amp; Reference Block</w:t>
            </w:r>
          </w:p>
        </w:tc>
        <w:tc>
          <w:tcPr>
            <w:tcW w:type="dxa" w:w="3312"/>
          </w:tcPr>
          <w:p>
            <w:r>
              <w:rPr>
                <w:sz w:val="17"/>
              </w:rPr>
              <w:t>To / designation / jurisdiction / GSTIN / PAN / notice reference &amp; date</w:t>
            </w:r>
          </w:p>
        </w:tc>
      </w:tr>
      <w:tr>
        <w:tc>
          <w:tcPr>
            <w:tcW w:type="dxa" w:w="3312"/>
            <w:shd w:val="clear" w:color="auto" w:fill="F4F6F9"/>
          </w:tcPr>
          <w:p>
            <w:r>
              <w:rPr>
                <w:sz w:val="17"/>
              </w:rPr>
              <w:t>2</w:t>
            </w:r>
          </w:p>
        </w:tc>
        <w:tc>
          <w:tcPr>
            <w:tcW w:type="dxa" w:w="3312"/>
            <w:shd w:val="clear" w:color="auto" w:fill="F4F6F9"/>
          </w:tcPr>
          <w:p>
            <w:r>
              <w:rPr>
                <w:sz w:val="17"/>
              </w:rPr>
              <w:t>Subject</w:t>
            </w:r>
          </w:p>
        </w:tc>
        <w:tc>
          <w:tcPr>
            <w:tcW w:type="dxa" w:w="3312"/>
            <w:shd w:val="clear" w:color="auto" w:fill="F4F6F9"/>
          </w:tcPr>
          <w:p>
            <w:r>
              <w:rPr>
                <w:sz w:val="17"/>
              </w:rPr>
              <w:t>One-sentence concise summary of reply and relief sought</w:t>
            </w:r>
          </w:p>
        </w:tc>
      </w:tr>
      <w:tr>
        <w:tc>
          <w:tcPr>
            <w:tcW w:type="dxa" w:w="3312"/>
          </w:tcPr>
          <w:p>
            <w:r>
              <w:rPr>
                <w:sz w:val="17"/>
              </w:rPr>
              <w:t>3</w:t>
            </w:r>
          </w:p>
        </w:tc>
        <w:tc>
          <w:tcPr>
            <w:tcW w:type="dxa" w:w="3312"/>
          </w:tcPr>
          <w:p>
            <w:r>
              <w:rPr>
                <w:sz w:val="17"/>
              </w:rPr>
              <w:t>Synopsis</w:t>
            </w:r>
          </w:p>
        </w:tc>
        <w:tc>
          <w:tcPr>
            <w:tcW w:type="dxa" w:w="3312"/>
          </w:tcPr>
          <w:p>
            <w:r>
              <w:rPr>
                <w:sz w:val="17"/>
              </w:rPr>
              <w:t>Executive summary of allegations, legal defenses, and core relief</w:t>
            </w:r>
          </w:p>
        </w:tc>
      </w:tr>
      <w:tr>
        <w:tc>
          <w:tcPr>
            <w:tcW w:type="dxa" w:w="3312"/>
            <w:shd w:val="clear" w:color="auto" w:fill="F4F6F9"/>
          </w:tcPr>
          <w:p>
            <w:r>
              <w:rPr>
                <w:sz w:val="17"/>
              </w:rPr>
              <w:t>4</w:t>
            </w:r>
          </w:p>
        </w:tc>
        <w:tc>
          <w:tcPr>
            <w:tcW w:type="dxa" w:w="3312"/>
            <w:shd w:val="clear" w:color="auto" w:fill="F4F6F9"/>
          </w:tcPr>
          <w:p>
            <w:r>
              <w:rPr>
                <w:sz w:val="17"/>
              </w:rPr>
              <w:t>Statement of Facts</w:t>
            </w:r>
          </w:p>
        </w:tc>
        <w:tc>
          <w:tcPr>
            <w:tcW w:type="dxa" w:w="3312"/>
            <w:shd w:val="clear" w:color="auto" w:fill="F4F6F9"/>
          </w:tcPr>
          <w:p>
            <w:r>
              <w:rPr>
                <w:sz w:val="17"/>
              </w:rPr>
              <w:t>Numbered chronological matrix of facts — strictly unargued</w:t>
            </w:r>
          </w:p>
        </w:tc>
      </w:tr>
      <w:tr>
        <w:tc>
          <w:tcPr>
            <w:tcW w:type="dxa" w:w="3312"/>
          </w:tcPr>
          <w:p>
            <w:r>
              <w:rPr>
                <w:sz w:val="17"/>
              </w:rPr>
              <w:t>5</w:t>
            </w:r>
          </w:p>
        </w:tc>
        <w:tc>
          <w:tcPr>
            <w:tcW w:type="dxa" w:w="3312"/>
          </w:tcPr>
          <w:p>
            <w:r>
              <w:rPr>
                <w:sz w:val="17"/>
              </w:rPr>
              <w:t>Preliminary Objections — Jurisdiction</w:t>
            </w:r>
          </w:p>
        </w:tc>
        <w:tc>
          <w:tcPr>
            <w:tcW w:type="dxa" w:w="3312"/>
          </w:tcPr>
          <w:p>
            <w:r>
              <w:rPr>
                <w:sz w:val="17"/>
              </w:rPr>
              <w:t>Officer authority, territorial limits, and monetary threshold defects</w:t>
            </w:r>
          </w:p>
        </w:tc>
      </w:tr>
      <w:tr>
        <w:tc>
          <w:tcPr>
            <w:tcW w:type="dxa" w:w="3312"/>
            <w:shd w:val="clear" w:color="auto" w:fill="F4F6F9"/>
          </w:tcPr>
          <w:p>
            <w:r>
              <w:rPr>
                <w:sz w:val="17"/>
              </w:rPr>
              <w:t>6</w:t>
            </w:r>
          </w:p>
        </w:tc>
        <w:tc>
          <w:tcPr>
            <w:tcW w:type="dxa" w:w="3312"/>
            <w:shd w:val="clear" w:color="auto" w:fill="F4F6F9"/>
          </w:tcPr>
          <w:p>
            <w:r>
              <w:rPr>
                <w:sz w:val="17"/>
              </w:rPr>
              <w:t>Preliminary Objections — Limitation &amp; Procedure</w:t>
            </w:r>
          </w:p>
        </w:tc>
        <w:tc>
          <w:tcPr>
            <w:tcW w:type="dxa" w:w="3312"/>
            <w:shd w:val="clear" w:color="auto" w:fill="F4F6F9"/>
          </w:tcPr>
          <w:p>
            <w:r>
              <w:rPr>
                <w:sz w:val="17"/>
              </w:rPr>
              <w:t>Section 73(10)/74(10) time bar, Rule 142(1A) DRC-01A lack, DIN invalidation</w:t>
            </w:r>
          </w:p>
        </w:tc>
      </w:tr>
      <w:tr>
        <w:tc>
          <w:tcPr>
            <w:tcW w:type="dxa" w:w="3312"/>
          </w:tcPr>
          <w:p>
            <w:r>
              <w:rPr>
                <w:sz w:val="17"/>
              </w:rPr>
              <w:t>7</w:t>
            </w:r>
          </w:p>
        </w:tc>
        <w:tc>
          <w:tcPr>
            <w:tcW w:type="dxa" w:w="3312"/>
          </w:tcPr>
          <w:p>
            <w:r>
              <w:rPr>
                <w:sz w:val="17"/>
              </w:rPr>
              <w:t>Para-wise Reply</w:t>
            </w:r>
          </w:p>
        </w:tc>
        <w:tc>
          <w:tcPr>
            <w:tcW w:type="dxa" w:w="3312"/>
          </w:tcPr>
          <w:p>
            <w:r>
              <w:rPr>
                <w:sz w:val="17"/>
              </w:rPr>
              <w:t>Numbered paragraph-by-paragraph admission / denial / rebuttal</w:t>
            </w:r>
          </w:p>
        </w:tc>
      </w:tr>
      <w:tr>
        <w:tc>
          <w:tcPr>
            <w:tcW w:type="dxa" w:w="3312"/>
            <w:shd w:val="clear" w:color="auto" w:fill="F4F6F9"/>
          </w:tcPr>
          <w:p>
            <w:r>
              <w:rPr>
                <w:sz w:val="17"/>
              </w:rPr>
              <w:t>8</w:t>
            </w:r>
          </w:p>
        </w:tc>
        <w:tc>
          <w:tcPr>
            <w:tcW w:type="dxa" w:w="3312"/>
            <w:shd w:val="clear" w:color="auto" w:fill="F4F6F9"/>
          </w:tcPr>
          <w:p>
            <w:r>
              <w:rPr>
                <w:sz w:val="17"/>
              </w:rPr>
              <w:t>Ground 1</w:t>
            </w:r>
          </w:p>
        </w:tc>
        <w:tc>
          <w:tcPr>
            <w:tcW w:type="dxa" w:w="3312"/>
            <w:shd w:val="clear" w:color="auto" w:fill="F4F6F9"/>
          </w:tcPr>
          <w:p>
            <w:r>
              <w:rPr>
                <w:sz w:val="17"/>
              </w:rPr>
              <w:t>Primary substantive ground (e.g. absence of suppression under Pushpam)</w:t>
            </w:r>
          </w:p>
        </w:tc>
      </w:tr>
      <w:tr>
        <w:tc>
          <w:tcPr>
            <w:tcW w:type="dxa" w:w="3312"/>
          </w:tcPr>
          <w:p>
            <w:r>
              <w:rPr>
                <w:sz w:val="17"/>
              </w:rPr>
              <w:t>9</w:t>
            </w:r>
          </w:p>
        </w:tc>
        <w:tc>
          <w:tcPr>
            <w:tcW w:type="dxa" w:w="3312"/>
          </w:tcPr>
          <w:p>
            <w:r>
              <w:rPr>
                <w:sz w:val="17"/>
              </w:rPr>
              <w:t>Ground 2</w:t>
            </w:r>
          </w:p>
        </w:tc>
        <w:tc>
          <w:tcPr>
            <w:tcW w:type="dxa" w:w="3312"/>
          </w:tcPr>
          <w:p>
            <w:r>
              <w:rPr>
                <w:sz w:val="17"/>
              </w:rPr>
              <w:t>Secondary substantive ground (e.g. non-denial of ITC for supplier default under Suncraft)</w:t>
            </w:r>
          </w:p>
        </w:tc>
      </w:tr>
      <w:tr>
        <w:tc>
          <w:tcPr>
            <w:tcW w:type="dxa" w:w="3312"/>
            <w:shd w:val="clear" w:color="auto" w:fill="F4F6F9"/>
          </w:tcPr>
          <w:p>
            <w:r>
              <w:rPr>
                <w:sz w:val="17"/>
              </w:rPr>
              <w:t>10</w:t>
            </w:r>
          </w:p>
        </w:tc>
        <w:tc>
          <w:tcPr>
            <w:tcW w:type="dxa" w:w="3312"/>
            <w:shd w:val="clear" w:color="auto" w:fill="F4F6F9"/>
          </w:tcPr>
          <w:p>
            <w:r>
              <w:rPr>
                <w:sz w:val="17"/>
              </w:rPr>
              <w:t>Ground 3</w:t>
            </w:r>
          </w:p>
        </w:tc>
        <w:tc>
          <w:tcPr>
            <w:tcW w:type="dxa" w:w="3312"/>
            <w:shd w:val="clear" w:color="auto" w:fill="F4F6F9"/>
          </w:tcPr>
          <w:p>
            <w:r>
              <w:rPr>
                <w:sz w:val="17"/>
              </w:rPr>
              <w:t>Tertiary ground (e.g. format notice natural justice violation under NKAS Services)</w:t>
            </w:r>
          </w:p>
        </w:tc>
      </w:tr>
      <w:tr>
        <w:tc>
          <w:tcPr>
            <w:tcW w:type="dxa" w:w="3312"/>
          </w:tcPr>
          <w:p>
            <w:r>
              <w:rPr>
                <w:sz w:val="17"/>
              </w:rPr>
              <w:t>11</w:t>
            </w:r>
          </w:p>
        </w:tc>
        <w:tc>
          <w:tcPr>
            <w:tcW w:type="dxa" w:w="3312"/>
          </w:tcPr>
          <w:p>
            <w:r>
              <w:rPr>
                <w:sz w:val="17"/>
              </w:rPr>
              <w:t>Without Prejudice — Alternative Submissions</w:t>
            </w:r>
          </w:p>
        </w:tc>
        <w:tc>
          <w:tcPr>
            <w:tcW w:type="dxa" w:w="3312"/>
          </w:tcPr>
          <w:p>
            <w:r>
              <w:rPr>
                <w:sz w:val="17"/>
              </w:rPr>
              <w:t>Section 73(8) penalty waiver &amp; Section 50 net cash interest defense</w:t>
            </w:r>
          </w:p>
        </w:tc>
      </w:tr>
      <w:tr>
        <w:tc>
          <w:tcPr>
            <w:tcW w:type="dxa" w:w="3312"/>
            <w:shd w:val="clear" w:color="auto" w:fill="F4F6F9"/>
          </w:tcPr>
          <w:p>
            <w:r>
              <w:rPr>
                <w:sz w:val="17"/>
              </w:rPr>
              <w:t>12</w:t>
            </w:r>
          </w:p>
        </w:tc>
        <w:tc>
          <w:tcPr>
            <w:tcW w:type="dxa" w:w="3312"/>
            <w:shd w:val="clear" w:color="auto" w:fill="F4F6F9"/>
          </w:tcPr>
          <w:p>
            <w:r>
              <w:rPr>
                <w:sz w:val="17"/>
              </w:rPr>
              <w:t>Quantum, Interest &amp; Computation</w:t>
            </w:r>
          </w:p>
        </w:tc>
        <w:tc>
          <w:tcPr>
            <w:tcW w:type="dxa" w:w="3312"/>
            <w:shd w:val="clear" w:color="auto" w:fill="F4F6F9"/>
          </w:tcPr>
          <w:p>
            <w:r>
              <w:rPr>
                <w:sz w:val="17"/>
              </w:rPr>
              <w:t>Arithmetic breakdown, rate verification, cash liability restriction</w:t>
            </w:r>
          </w:p>
        </w:tc>
      </w:tr>
      <w:tr>
        <w:tc>
          <w:tcPr>
            <w:tcW w:type="dxa" w:w="3312"/>
          </w:tcPr>
          <w:p>
            <w:r>
              <w:rPr>
                <w:sz w:val="17"/>
              </w:rPr>
              <w:t>13</w:t>
            </w:r>
          </w:p>
        </w:tc>
        <w:tc>
          <w:tcPr>
            <w:tcW w:type="dxa" w:w="3312"/>
          </w:tcPr>
          <w:p>
            <w:r>
              <w:rPr>
                <w:sz w:val="17"/>
              </w:rPr>
              <w:t>Prayer</w:t>
            </w:r>
          </w:p>
        </w:tc>
        <w:tc>
          <w:tcPr>
            <w:tcW w:type="dxa" w:w="3312"/>
          </w:tcPr>
          <w:p>
            <w:r>
              <w:rPr>
                <w:sz w:val="17"/>
              </w:rPr>
              <w:t>Numbered specific relief + explicit request for Personal Hearing under Sec 75(4)</w:t>
            </w:r>
          </w:p>
        </w:tc>
      </w:tr>
      <w:tr>
        <w:tc>
          <w:tcPr>
            <w:tcW w:type="dxa" w:w="3312"/>
            <w:shd w:val="clear" w:color="auto" w:fill="F4F6F9"/>
          </w:tcPr>
          <w:p>
            <w:r>
              <w:rPr>
                <w:sz w:val="17"/>
              </w:rPr>
              <w:t>14</w:t>
            </w:r>
          </w:p>
        </w:tc>
        <w:tc>
          <w:tcPr>
            <w:tcW w:type="dxa" w:w="3312"/>
            <w:shd w:val="clear" w:color="auto" w:fill="F4F6F9"/>
          </w:tcPr>
          <w:p>
            <w:r>
              <w:rPr>
                <w:sz w:val="17"/>
              </w:rPr>
              <w:t>Annexures</w:t>
            </w:r>
          </w:p>
        </w:tc>
        <w:tc>
          <w:tcPr>
            <w:tcW w:type="dxa" w:w="3312"/>
            <w:shd w:val="clear" w:color="auto" w:fill="F4F6F9"/>
          </w:tcPr>
          <w:p>
            <w:r>
              <w:rPr>
                <w:sz w:val="17"/>
              </w:rPr>
              <w:t>List of attached evidence (Form REG-06, GSTR-1, GSTR-3B, GSTR-2A/2B reconciliations)</w:t>
            </w:r>
          </w:p>
        </w:tc>
      </w:tr>
      <w:tr>
        <w:tc>
          <w:tcPr>
            <w:tcW w:type="dxa" w:w="3312"/>
          </w:tcPr>
          <w:p>
            <w:r>
              <w:rPr>
                <w:sz w:val="17"/>
              </w:rPr>
              <w:t>15</w:t>
            </w:r>
          </w:p>
        </w:tc>
        <w:tc>
          <w:tcPr>
            <w:tcW w:type="dxa" w:w="3312"/>
          </w:tcPr>
          <w:p>
            <w:r>
              <w:rPr>
                <w:sz w:val="17"/>
              </w:rPr>
              <w:t>Declaration &amp; Signature Block</w:t>
            </w:r>
          </w:p>
        </w:tc>
        <w:tc>
          <w:tcPr>
            <w:tcW w:type="dxa" w:w="3312"/>
          </w:tcPr>
          <w:p>
            <w:r>
              <w:rPr>
                <w:sz w:val="17"/>
              </w:rPr>
              <w:t>Formal verification statement, authorised signatory details, place, and date</w:t>
            </w:r>
          </w:p>
        </w:tc>
      </w:tr>
    </w:tbl>
    <w:p>
      <w:pPr>
        <w:spacing w:before="280" w:after="120"/>
      </w:pPr>
      <w:r>
        <w:rPr>
          <w:b/>
          <w:color w:val="0F2240"/>
          <w:sz w:val="30"/>
        </w:rPr>
        <w:t>4. Backend Implementation &amp; Empirical Validation</w:t>
      </w:r>
    </w:p>
    <w:p>
      <w:pPr>
        <w:spacing w:after="120" w:line="276" w:lineRule="auto"/>
      </w:pPr>
      <w:r>
        <w:rPr>
          <w:color w:val="282828"/>
          <w:sz w:val="21"/>
        </w:rPr>
        <w:t>The architecture is implemented in Spring Boot (noticedesk-java) with the following primary services:</w:t>
      </w:r>
    </w:p>
    <w:p>
      <w:pPr>
        <w:spacing w:after="120" w:line="276" w:lineRule="auto"/>
      </w:pPr>
      <w:r>
        <w:rPr>
          <w:b/>
          <w:color w:val="141414"/>
          <w:sz w:val="21"/>
        </w:rPr>
        <w:t xml:space="preserve">• </w:t>
      </w:r>
      <w:r>
        <w:rPr>
          <w:color w:val="282828"/>
          <w:sz w:val="21"/>
        </w:rPr>
        <w:t>1. GstCorpusMatcherService: Scans pairing_manifest.jsonl and calculates similarity scores to categorize notices into FAST_TRACK, NOVEL_LLM, or HYBRID.</w:t>
      </w:r>
    </w:p>
    <w:p>
      <w:pPr>
        <w:spacing w:after="120" w:line="276" w:lineRule="auto"/>
      </w:pPr>
      <w:r>
        <w:rPr>
          <w:b/>
          <w:color w:val="141414"/>
          <w:sz w:val="21"/>
        </w:rPr>
        <w:t xml:space="preserve">• </w:t>
      </w:r>
      <w:r>
        <w:rPr>
          <w:color w:val="282828"/>
          <w:sz w:val="21"/>
        </w:rPr>
        <w:t>2. GstTemplateFillerService: Apache POI placeholder engine filling client and notice variables into the 15 standard sections.</w:t>
      </w:r>
    </w:p>
    <w:p>
      <w:pPr>
        <w:spacing w:after="120" w:line="276" w:lineRule="auto"/>
      </w:pPr>
      <w:r>
        <w:rPr>
          <w:b/>
          <w:color w:val="141414"/>
          <w:sz w:val="21"/>
        </w:rPr>
        <w:t xml:space="preserve">• </w:t>
      </w:r>
      <w:r>
        <w:rPr>
          <w:color w:val="282828"/>
          <w:sz w:val="21"/>
        </w:rPr>
        <w:t>3. RagStoreService &amp; CorpusRagSeederService: PGVector-backed RAG store managing legal chunk embeddings, similarity queries, and novel draft auto-caching.</w:t>
      </w:r>
    </w:p>
    <w:p>
      <w:pPr>
        <w:spacing w:after="120" w:line="276" w:lineRule="auto"/>
      </w:pPr>
      <w:r>
        <w:rPr>
          <w:b/>
          <w:color w:val="141414"/>
          <w:sz w:val="21"/>
        </w:rPr>
        <w:t xml:space="preserve">• </w:t>
      </w:r>
      <w:r>
        <w:rPr>
          <w:color w:val="282828"/>
          <w:sz w:val="21"/>
        </w:rPr>
        <w:t>4. ScenariosTestingRunnerTest: Automated JUnit test suite verifying end-to-end execution of all 3 scenarios with zero compilation/runtime errors.</w:t>
      </w:r>
    </w:p>
    <w:p>
      <w:pPr>
        <w:spacing w:before="200" w:after="80"/>
      </w:pPr>
      <w:r>
        <w:rPr>
          <w:b/>
          <w:color w:val="284673"/>
          <w:sz w:val="24"/>
        </w:rPr>
        <w:t>Empirical Validation Output Artifacts</w:t>
      </w:r>
    </w:p>
    <w:p>
      <w:pPr>
        <w:spacing w:after="120" w:line="276" w:lineRule="auto"/>
      </w:pPr>
      <w:r>
        <w:rPr>
          <w:color w:val="282828"/>
          <w:sz w:val="21"/>
        </w:rPr>
        <w:t>All 3 test scenarios were executed, verified, and exported into exact formatted outputs in the /output folder:</w:t>
      </w:r>
    </w:p>
    <w:p>
      <w:pPr>
        <w:spacing w:after="120" w:line="276" w:lineRule="auto"/>
      </w:pPr>
      <w:r>
        <w:rPr>
          <w:b/>
          <w:color w:val="141414"/>
          <w:sz w:val="21"/>
        </w:rPr>
        <w:t xml:space="preserve">• </w:t>
      </w:r>
      <w:r>
        <w:rPr>
          <w:color w:val="282828"/>
          <w:sz w:val="21"/>
        </w:rPr>
        <w:t>Scenario 1 Output: Scenario_1_Exact_Match_Output.pdf | .docx | .txt</w:t>
      </w:r>
    </w:p>
    <w:p>
      <w:pPr>
        <w:spacing w:after="120" w:line="276" w:lineRule="auto"/>
      </w:pPr>
      <w:r>
        <w:rPr>
          <w:b/>
          <w:color w:val="141414"/>
          <w:sz w:val="21"/>
        </w:rPr>
        <w:t xml:space="preserve">• </w:t>
      </w:r>
      <w:r>
        <w:rPr>
          <w:color w:val="282828"/>
          <w:sz w:val="21"/>
        </w:rPr>
        <w:t>Scenario 2 Output: Scenario_2_Novel_Notice_Output.pdf | .docx | .txt</w:t>
      </w:r>
    </w:p>
    <w:p>
      <w:pPr>
        <w:spacing w:after="120" w:line="276" w:lineRule="auto"/>
      </w:pPr>
      <w:r>
        <w:rPr>
          <w:b/>
          <w:color w:val="141414"/>
          <w:sz w:val="21"/>
        </w:rPr>
        <w:t xml:space="preserve">• </w:t>
      </w:r>
      <w:r>
        <w:rPr>
          <w:color w:val="282828"/>
          <w:sz w:val="21"/>
        </w:rPr>
        <w:t>Scenario 3 Output: Scenario_3_Hybrid_MultiIssue_Output.pdf | .docx | .txt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