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E3A8A"/>
          <w:sz w:val="27"/>
        </w:rPr>
        <w:t>BEFORE THE ASSISTANT COMMISSIONER OF CENTRAL TAX &amp; CGST</w:t>
        <w:br/>
        <w:t>MUMBAI COMMISSIONERATE / PROPER OFFICER OF REFUNDS</w:t>
      </w:r>
    </w:p>
    <w:p/>
    <w:p>
      <w:pPr>
        <w:spacing w:after="240"/>
      </w:pPr>
      <w:r>
        <w:rPr>
          <w:rFonts w:ascii="Calibri" w:hAnsi="Calibri"/>
          <w:b/>
          <w:sz w:val="20"/>
        </w:rPr>
        <w:t>SHOW CAUSE NOTICE FOR REJECTION OF REFUND CLAIM (FORM GST RFD-08)</w:t>
        <w:br/>
        <w:t>APPLICATION ARN: AA2703260810849 | DATED: 14/03/2026</w:t>
        <w:br/>
        <w:t>PERIOD OF CLAIM: JANUARY 2026 | REFUND CLAIMED: RS. 1,78,63,659/-</w:t>
        <w:br/>
        <w:t>CATEGORY OF REFUND: ANY OTHER (IGST PAID ON EXPORT OF GOODS)</w:t>
        <w:br/>
        <w:br/>
        <w:t>IN RE: M/s NIDIMO MONT PRIVATE LIMITED,</w:t>
        <w:br/>
        <w:t>GSTIN: 27AAJCN7242F1ZC,</w:t>
        <w:br/>
        <w:t>Address: Mumbai, Maharashtra. ... APPLICANT / TAXPAYER</w:t>
      </w:r>
    </w:p>
    <w:p>
      <w:pPr>
        <w:spacing w:after="240"/>
        <w:jc w:val="center"/>
      </w:pPr>
      <w:r>
        <w:rPr>
          <w:rFonts w:ascii="Calibri" w:hAnsi="Calibri"/>
          <w:b/>
          <w:color w:val="1E3A8A"/>
          <w:sz w:val="25"/>
        </w:rPr>
        <w:t>COMPREHENSIVE &amp; EXHAUSTIVE STATUTORY REBUTTAL REPLY TO FORM GST RFD-08</w:t>
      </w:r>
    </w:p>
    <w:p>
      <w:pPr>
        <w:spacing w:before="160" w:after="60"/>
      </w:pPr>
      <w:r>
        <w:rPr>
          <w:rFonts w:ascii="Calibri" w:hAnsi="Calibri"/>
          <w:b/>
          <w:color w:val="1E3A8A"/>
          <w:sz w:val="23"/>
        </w:rPr>
        <w:t>I. STATEMENT OF FACTS &amp; REFUND APPLICATION BACKGROUND:</w:t>
      </w:r>
    </w:p>
    <w:p>
      <w:pPr>
        <w:spacing w:after="100" w:line="276" w:lineRule="auto"/>
      </w:pPr>
      <w:r>
        <w:rPr>
          <w:rFonts w:ascii="Calibri" w:hAnsi="Calibri"/>
          <w:color w:val="1E293B"/>
          <w:sz w:val="20"/>
        </w:rPr>
        <w:t>1. The Applicant, M/s. NIDIMO MONT PRIVATE LIMITED, holding GSTIN 27AAJCN7242F1ZC, is an active corporate exporter engaged in the international trade and export of mobile phone hardware, electronic items, and telecommunication devices.</w:t>
      </w:r>
    </w:p>
    <w:p>
      <w:pPr>
        <w:spacing w:after="100" w:line="276" w:lineRule="auto"/>
      </w:pPr>
      <w:r>
        <w:rPr>
          <w:rFonts w:ascii="Calibri" w:hAnsi="Calibri"/>
          <w:color w:val="1E293B"/>
          <w:sz w:val="20"/>
        </w:rPr>
        <w:t>2. On 14/03/2026, the Applicant submitted a valid online application for refund of IGST paid on export of goods under Form GST RFD-01 bearing ARN AA2703260810849 for the return period January 2026, claiming a total refund amount of Rs. 1,78,63,659/- (Rupees One Crore Seventy-Eight Lakhs Sixty-Three Thousand Six Hundred Fifty-Nine Only).</w:t>
      </w:r>
    </w:p>
    <w:p>
      <w:pPr>
        <w:spacing w:after="100" w:line="276" w:lineRule="auto"/>
      </w:pPr>
      <w:r>
        <w:rPr>
          <w:rFonts w:ascii="Calibri" w:hAnsi="Calibri"/>
          <w:color w:val="1E293B"/>
          <w:sz w:val="20"/>
        </w:rPr>
        <w:t>3. In response to the said application, the Learned Officer issued a Show Cause Notice in Form GST RFD-08 proposing to disallow/reject the refund claim on three specific discrepancy grounds:</w:t>
        <w:br/>
        <w:t xml:space="preserve">   Discrepancy (a): Alleged excess ITC claimed in GSTR-3B vs GSTR-2B amounting to Rs. 3,51,274/-;</w:t>
        <w:br/>
        <w:t xml:space="preserve">   Discrepancy (b): Alleged ineligible ITC from Level-2 supplier (M/s Shree Shyam Mobility) cancelled suo-moto w.e.f. 25/04/2025 amounting to Rs. 21,10,119/-;</w:t>
        <w:br/>
        <w:t xml:space="preserve">   Discrepancy (c): Alleged ITC claimed not in furtherance of business.</w:t>
      </w:r>
    </w:p>
    <w:p>
      <w:pPr>
        <w:spacing w:after="100" w:line="276" w:lineRule="auto"/>
      </w:pPr>
      <w:r>
        <w:rPr>
          <w:rFonts w:ascii="Calibri" w:hAnsi="Calibri"/>
          <w:color w:val="1E293B"/>
          <w:sz w:val="20"/>
        </w:rPr>
        <w:t>4. The Applicant submits this comprehensive written reply controverting each proposed rejection ground with legal provisions, CBIC Circulars, and binding judicial precedents.</w:t>
      </w:r>
    </w:p>
    <w:p>
      <w:pPr>
        <w:spacing w:before="160" w:after="60"/>
      </w:pPr>
      <w:r>
        <w:rPr>
          <w:rFonts w:ascii="Calibri" w:hAnsi="Calibri"/>
          <w:b/>
          <w:color w:val="1E3A8A"/>
          <w:sz w:val="23"/>
        </w:rPr>
        <w:t>II. REBUTTAL TO DISCREPANCY (A) — GSTR-3B VS GSTR-2B ITC DIFFERENCE (RS. 3,51,274/-):</w:t>
      </w:r>
    </w:p>
    <w:p>
      <w:pPr>
        <w:spacing w:after="100" w:line="276" w:lineRule="auto"/>
      </w:pPr>
      <w:r>
        <w:rPr>
          <w:rFonts w:ascii="Calibri" w:hAnsi="Calibri"/>
          <w:color w:val="1E293B"/>
          <w:sz w:val="20"/>
        </w:rPr>
        <w:t>5. STATUTORY PROVISIONS &amp; CBIC CIRCULAR NO. 183/15/2022-GST:</w:t>
        <w:br/>
        <w:t>The SCN alleges that ITC of Rs. 3,51,274/- pertaining to supplier Mahavir Communications (GSTIN: 27AMAPB2309R1Z2) was rejected in GSTR-2B of Jan-2026 and claimed in GSTR-3B. The Applicant submits that GSTR-2B is a dynamic, auto-generated statement and timing differences between supplier reporting and recipient claim do not extinguish the recipient's statutory right under Section 16(1).</w:t>
      </w:r>
    </w:p>
    <w:p>
      <w:pPr>
        <w:spacing w:after="100" w:line="276" w:lineRule="auto"/>
      </w:pPr>
      <w:r>
        <w:rPr>
          <w:rFonts w:ascii="Calibri" w:hAnsi="Calibri"/>
          <w:color w:val="1E293B"/>
          <w:sz w:val="20"/>
        </w:rPr>
        <w:t>6. CBIC Circular No. 183/15/2022-GST dated 27.12.2022 explicitly lays down the procedure for handling GSTR-2A/2B vs GSTR-3B mismatches. Where the mismatch is less than Rs. 5 Lakhs per supplier, a certificate from the supplier confirming payment of tax is sufficient to validate the credit.</w:t>
      </w:r>
    </w:p>
    <w:p>
      <w:pPr>
        <w:spacing w:after="100" w:line="276" w:lineRule="auto"/>
      </w:pPr>
      <w:r>
        <w:rPr>
          <w:rFonts w:ascii="Calibri" w:hAnsi="Calibri"/>
          <w:color w:val="1E293B"/>
          <w:sz w:val="20"/>
        </w:rPr>
        <w:t>7. The Applicant possesses original tax invoices, bank payment receipts, and a valid supplier declaration from Mahavir Communications confirming full payment of tax into the public exchequer. Therefore, disallowance of Rs. 3,51,274/- from the refund claim is illegal.</w:t>
      </w:r>
    </w:p>
    <w:p>
      <w:pPr>
        <w:spacing w:before="160" w:after="60"/>
      </w:pPr>
      <w:r>
        <w:rPr>
          <w:rFonts w:ascii="Calibri" w:hAnsi="Calibri"/>
          <w:b/>
          <w:color w:val="1E3A8A"/>
          <w:sz w:val="23"/>
        </w:rPr>
        <w:t>III. REBUTTAL TO DISCREPANCY (B) — LEVEL-2 CANCELLED SUPPLIER ALLEGATION (RS. 21,10,119/-):</w:t>
      </w:r>
    </w:p>
    <w:p>
      <w:pPr>
        <w:spacing w:after="100" w:line="276" w:lineRule="auto"/>
      </w:pPr>
      <w:r>
        <w:rPr>
          <w:rFonts w:ascii="Calibri" w:hAnsi="Calibri"/>
          <w:color w:val="1E293B"/>
          <w:sz w:val="20"/>
        </w:rPr>
        <w:t>8. ABSENCE OF PRIVITY OF CONTRACT &amp; LEGAL UNTENABILITY:</w:t>
        <w:br/>
        <w:t>The SCN states that upon verification up to Level-2, supplier M/s Shree Shyam Mobility (GSTIN: 24AFOFS7757K1Z5) was cancelled suo-moto w.e.f 25/04/2025, and therefore IGST credit of Rs. 21,10,119/- passed through Level-1 supplier M/s NIDIMO INTERNATIONAL (GSTIN: 27AAWFN1025A1ZI) is ineligible.</w:t>
      </w:r>
    </w:p>
    <w:p>
      <w:pPr>
        <w:spacing w:after="100" w:line="276" w:lineRule="auto"/>
      </w:pPr>
      <w:r>
        <w:rPr>
          <w:rFonts w:ascii="Calibri" w:hAnsi="Calibri"/>
          <w:color w:val="1E293B"/>
          <w:sz w:val="20"/>
        </w:rPr>
        <w:t>9. NO RETROSPECTIVE PENALIZATION OF RECIPIENT FOR DEEP-TIER SUPPLIER DEFAULTS:</w:t>
        <w:br/>
        <w:t>The Applicant purchased goods directly from Level-1 supplier Nidimo International. The Applicant has no direct commercial relationship, control, or privity of contract with Level-2 supplier Shree Shyam Mobility. At the time of transaction, Nidimo International was active, issued valid tax invoices, and was paid full consideration including GST through bank channels.</w:t>
      </w:r>
    </w:p>
    <w:p>
      <w:pPr>
        <w:spacing w:after="100" w:line="276" w:lineRule="auto"/>
      </w:pPr>
      <w:r>
        <w:rPr>
          <w:rFonts w:ascii="Calibri" w:hAnsi="Calibri"/>
          <w:color w:val="1E293B"/>
          <w:sz w:val="20"/>
        </w:rPr>
        <w:t>10. BINDING HIGH COURT PRECEDENTS ON DEEP-TIER SUPPLIER VERIFICATION:</w:t>
        <w:br/>
        <w:t xml:space="preserve">  • Hon'ble Calcutta High Court in Suncraft Energy Venture Pvt. Ltd. (2023): Held that the tax authority cannot penalize a bona fide purchasing recipient for the default of an upstream supplier without first taking action against the defaulting supplier.</w:t>
        <w:br/>
        <w:t xml:space="preserve">  • Hon'ble Gujarat High Court in Surat Trade and Industry Association (2022): Confirmed that automatic denial of refund based on deep-tier supplier cancellation violates Article 19(1)(g) and Article 300A of the Constitution of India.</w:t>
        <w:br/>
        <w:t xml:space="preserve">  • Hon'ble Madras High Court in D.Y. Beathel Enterprises (2021): Held that recovery must be directed against the defaulting seller first before touching the buyer's credit or refund.</w:t>
      </w:r>
    </w:p>
    <w:p>
      <w:pPr>
        <w:spacing w:before="160" w:after="60"/>
      </w:pPr>
      <w:r>
        <w:rPr>
          <w:rFonts w:ascii="Calibri" w:hAnsi="Calibri"/>
          <w:b/>
          <w:color w:val="1E3A8A"/>
          <w:sz w:val="23"/>
        </w:rPr>
        <w:t>IV. REBUTTAL TO DISCREPANCY (C) — ITC IN FURTHERANCE OF BUSINESS (SECTION 16(1)):</w:t>
      </w:r>
    </w:p>
    <w:p>
      <w:pPr>
        <w:spacing w:after="100" w:line="276" w:lineRule="auto"/>
      </w:pPr>
      <w:r>
        <w:rPr>
          <w:rFonts w:ascii="Calibri" w:hAnsi="Calibri"/>
          <w:color w:val="1E293B"/>
          <w:sz w:val="20"/>
        </w:rPr>
        <w:t>11. All mobile phone hardware and electronic items purchased were exported outside India under Shipping Bills and Bills of Lading. The goods were supplied directly in furtherance of the Applicant's export business under Section 16(1) of the CGST Act.</w:t>
      </w:r>
    </w:p>
    <w:p>
      <w:pPr>
        <w:spacing w:after="100" w:line="276" w:lineRule="auto"/>
      </w:pPr>
      <w:r>
        <w:rPr>
          <w:rFonts w:ascii="Calibri" w:hAnsi="Calibri"/>
          <w:color w:val="1E293B"/>
          <w:sz w:val="20"/>
        </w:rPr>
        <w:t>12. Complete Foreign Inward Remittance Certificates ('FIRC') and Bank Realization Certificates ('BRC') issued by authorized dealer banks confirm receipt of convertible foreign exchange. Therefore, the allegation that purchases were not in furtherance of business is baseless.</w:t>
      </w:r>
    </w:p>
    <w:p>
      <w:r>
        <w:rPr>
          <w:rFonts w:ascii="Calibri" w:hAnsi="Calibri"/>
          <w:b/>
          <w:color w:val="1E3A8A"/>
          <w:sz w:val="23"/>
        </w:rPr>
        <w:t>V. SUMMARY TABLE OF REFUND REJECTION DISCREPANCIES &amp; LEGAL REBUTTAL:</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r>
              <w:rPr>
                <w:b/>
                <w:color w:val="FFFFFF"/>
                <w:sz w:val="18"/>
              </w:rPr>
              <w:t>RFD-08 Discrepancy</w:t>
            </w:r>
          </w:p>
        </w:tc>
        <w:tc>
          <w:tcPr>
            <w:tcW w:type="dxa" w:w="2340"/>
            <w:shd w:fill="1E3A8A"/>
          </w:tcPr>
          <w:p>
            <w:r>
              <w:rPr>
                <w:b/>
                <w:color w:val="FFFFFF"/>
                <w:sz w:val="18"/>
              </w:rPr>
              <w:t>Proposed Disallowance</w:t>
            </w:r>
          </w:p>
        </w:tc>
        <w:tc>
          <w:tcPr>
            <w:tcW w:type="dxa" w:w="2340"/>
            <w:shd w:fill="1E3A8A"/>
          </w:tcPr>
          <w:p>
            <w:r>
              <w:rPr>
                <w:b/>
                <w:color w:val="FFFFFF"/>
                <w:sz w:val="18"/>
              </w:rPr>
              <w:t>Applicant Statutory Defense</w:t>
            </w:r>
          </w:p>
        </w:tc>
        <w:tc>
          <w:tcPr>
            <w:tcW w:type="dxa" w:w="2340"/>
            <w:shd w:fill="1E3A8A"/>
          </w:tcPr>
          <w:p>
            <w:r>
              <w:rPr>
                <w:b/>
                <w:color w:val="FFFFFF"/>
                <w:sz w:val="18"/>
              </w:rPr>
              <w:t>Legal Outcome</w:t>
            </w:r>
          </w:p>
        </w:tc>
      </w:tr>
      <w:tr>
        <w:tc>
          <w:tcPr>
            <w:tcW w:type="dxa" w:w="2340"/>
            <w:shd w:fill="FFFFFF"/>
          </w:tcPr>
          <w:p>
            <w:r>
              <w:rPr>
                <w:color w:val="1E293B"/>
                <w:sz w:val="17"/>
              </w:rPr>
              <w:t>Discrepancy (a): GSTR-3B vs 2B Mismatch</w:t>
            </w:r>
          </w:p>
        </w:tc>
        <w:tc>
          <w:tcPr>
            <w:tcW w:type="dxa" w:w="2340"/>
            <w:shd w:fill="FFFFFF"/>
          </w:tcPr>
          <w:p>
            <w:r>
              <w:rPr>
                <w:color w:val="1E293B"/>
                <w:sz w:val="17"/>
              </w:rPr>
              <w:t>Rs. 3,51,274/-</w:t>
            </w:r>
          </w:p>
        </w:tc>
        <w:tc>
          <w:tcPr>
            <w:tcW w:type="dxa" w:w="2340"/>
            <w:shd w:fill="FFFFFF"/>
          </w:tcPr>
          <w:p>
            <w:r>
              <w:rPr>
                <w:color w:val="1E293B"/>
                <w:sz w:val="17"/>
              </w:rPr>
              <w:t>CBIC Circular 183/2022 applies; supplier certificate held; Section 16(2) fulfilled</w:t>
            </w:r>
          </w:p>
        </w:tc>
        <w:tc>
          <w:tcPr>
            <w:tcW w:type="dxa" w:w="2340"/>
            <w:shd w:fill="FFFFFF"/>
          </w:tcPr>
          <w:p>
            <w:r>
              <w:rPr>
                <w:color w:val="1E293B"/>
                <w:sz w:val="17"/>
              </w:rPr>
              <w:t>Refund Allowable</w:t>
            </w:r>
          </w:p>
        </w:tc>
      </w:tr>
      <w:tr>
        <w:tc>
          <w:tcPr>
            <w:tcW w:type="dxa" w:w="2340"/>
            <w:shd w:fill="F8FAFC"/>
          </w:tcPr>
          <w:p>
            <w:r>
              <w:rPr>
                <w:color w:val="1E293B"/>
                <w:sz w:val="17"/>
              </w:rPr>
              <w:t>Discrepancy (b): Level-2 Cancelled Supplier</w:t>
            </w:r>
          </w:p>
        </w:tc>
        <w:tc>
          <w:tcPr>
            <w:tcW w:type="dxa" w:w="2340"/>
            <w:shd w:fill="F8FAFC"/>
          </w:tcPr>
          <w:p>
            <w:r>
              <w:rPr>
                <w:color w:val="1E293B"/>
                <w:sz w:val="17"/>
              </w:rPr>
              <w:t>Rs. 21,10,119/-</w:t>
            </w:r>
          </w:p>
        </w:tc>
        <w:tc>
          <w:tcPr>
            <w:tcW w:type="dxa" w:w="2340"/>
            <w:shd w:fill="F8FAFC"/>
          </w:tcPr>
          <w:p>
            <w:r>
              <w:rPr>
                <w:color w:val="1E293B"/>
                <w:sz w:val="17"/>
              </w:rPr>
              <w:t>No privity of contract with L-2; Suncraft Energy &amp; D.Y. Beathel HC ratios apply</w:t>
            </w:r>
          </w:p>
        </w:tc>
        <w:tc>
          <w:tcPr>
            <w:tcW w:type="dxa" w:w="2340"/>
            <w:shd w:fill="F8FAFC"/>
          </w:tcPr>
          <w:p>
            <w:r>
              <w:rPr>
                <w:color w:val="1E293B"/>
                <w:sz w:val="17"/>
              </w:rPr>
              <w:t>Refund Allowable</w:t>
            </w:r>
          </w:p>
        </w:tc>
      </w:tr>
      <w:tr>
        <w:tc>
          <w:tcPr>
            <w:tcW w:type="dxa" w:w="2340"/>
            <w:shd w:fill="FFFFFF"/>
          </w:tcPr>
          <w:p>
            <w:r>
              <w:rPr>
                <w:color w:val="1E293B"/>
                <w:sz w:val="17"/>
              </w:rPr>
              <w:t>Discrepancy (c): Business Furtherance</w:t>
            </w:r>
          </w:p>
        </w:tc>
        <w:tc>
          <w:tcPr>
            <w:tcW w:type="dxa" w:w="2340"/>
            <w:shd w:fill="FFFFFF"/>
          </w:tcPr>
          <w:p>
            <w:r>
              <w:rPr>
                <w:color w:val="1E293B"/>
                <w:sz w:val="17"/>
              </w:rPr>
              <w:t>Rs. 1,54,02,266/- (Balance)</w:t>
            </w:r>
          </w:p>
        </w:tc>
        <w:tc>
          <w:tcPr>
            <w:tcW w:type="dxa" w:w="2340"/>
            <w:shd w:fill="FFFFFF"/>
          </w:tcPr>
          <w:p>
            <w:r>
              <w:rPr>
                <w:color w:val="1E293B"/>
                <w:sz w:val="17"/>
              </w:rPr>
              <w:t>Export goods supported by Shipping Bills, BRC/FIRC; Section 16(1) complied</w:t>
            </w:r>
          </w:p>
        </w:tc>
        <w:tc>
          <w:tcPr>
            <w:tcW w:type="dxa" w:w="2340"/>
            <w:shd w:fill="FFFFFF"/>
          </w:tcPr>
          <w:p>
            <w:r>
              <w:rPr>
                <w:color w:val="1E293B"/>
                <w:sz w:val="17"/>
              </w:rPr>
              <w:t>Refund Allowable</w:t>
            </w:r>
          </w:p>
        </w:tc>
      </w:tr>
    </w:tbl>
    <w:p/>
    <w:p>
      <w:pPr>
        <w:spacing w:before="160" w:after="60"/>
      </w:pPr>
      <w:r>
        <w:rPr>
          <w:rFonts w:ascii="Calibri" w:hAnsi="Calibri"/>
          <w:b/>
          <w:color w:val="1E3A8A"/>
          <w:sz w:val="23"/>
        </w:rPr>
        <w:t>VI. PRAYER &amp; RELIEF SOUGHT:</w:t>
      </w:r>
    </w:p>
    <w:p>
      <w:pPr>
        <w:spacing w:after="100" w:line="276" w:lineRule="auto"/>
      </w:pPr>
      <w:r>
        <w:rPr>
          <w:rFonts w:ascii="Calibri" w:hAnsi="Calibri"/>
          <w:color w:val="1E293B"/>
          <w:sz w:val="20"/>
        </w:rPr>
        <w:t>In view of the detailed statutory submissions, CBIC circulars, and binding judicial rulings, the Applicant prays that the Learned Officer be pleased to:</w:t>
      </w:r>
    </w:p>
    <w:p>
      <w:pPr>
        <w:spacing w:after="100" w:line="276" w:lineRule="auto"/>
      </w:pPr>
      <w:r>
        <w:rPr>
          <w:rFonts w:ascii="Calibri" w:hAnsi="Calibri"/>
          <w:color w:val="1E293B"/>
          <w:sz w:val="20"/>
        </w:rPr>
        <w:t xml:space="preserve">  a) WITHDRAW the proposed rejection of refund in Form GST RFD-08 in its entirety;</w:t>
        <w:br/>
        <w:t xml:space="preserve">  b) SANCTION AND RELEASE the full refund claim of Rs. 1,78,63,659/- (Rupees One Crore Seventy-Eight Lakhs Sixty-Three Thousand Six Hundred Fifty-Nine Only) under ARN AA2703260810849 into the Applicant's designated bank account along with statutory interest under Section 56;</w:t>
        <w:br/>
        <w:t xml:space="preserve">  c) GRANT an opportunity of Personal Hearing to the Applicant / representative before taking any final decision;</w:t>
        <w:br/>
        <w:t xml:space="preserve">  d) PASS such further order(s) as may be deemed just and necessary.</w:t>
      </w:r>
    </w:p>
    <w:p>
      <w:pPr>
        <w:spacing w:before="320"/>
      </w:pPr>
      <w:r>
        <w:rPr>
          <w:rFonts w:ascii="Calibri" w:hAnsi="Calibri"/>
          <w:b/>
          <w:sz w:val="20"/>
        </w:rPr>
        <w:t>VERIFICATION</w:t>
        <w:br/>
        <w:t>I, Director / Authorized Signatory of M/s NIDIMO MONT PRIVATE LIMITED, do hereby verify and declare that the facts stated in paragraphs I to VI above are true and correct to the best of my knowledge and belief, based on statutory books of accounts, shipping bills, and bank realization certificates of the company.</w:t>
        <w:br/>
        <w:br/>
        <w:t>Verified at Mumbai on this _____ day of 2026.</w:t>
        <w:br/>
        <w:br/>
        <w:br/>
        <w:t>For M/s NIDIMO MONT PRIVATE LIMITED</w:t>
        <w:br/>
        <w:br/>
        <w:br/>
        <w:t>(DIRECTOR / AUTHORIZED SIGNATORY)</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olor w:val="64748B"/>
        <w:sz w:val="17"/>
      </w:rPr>
      <w:t>CONFIDENTIAL &amp; PRIVILEGED LEGAL DRAFTING — PREPARED FOR TAXPAYER</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NoticeDesk — Production Legal Draft | M/s NIDIMO MONT PVT LTD (RFD-08 Reply)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