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27"/>
        </w:rPr>
        <w:t>BEFORE THE ASSISTANT COMMISSIONER / PROPER OFFICER OF CENTRAL TAX</w:t>
        <w:br/>
        <w:t>CGST &amp; CENTRAL EXCISE, NASHIK COMMISSIONERATE</w:t>
        <w:br/>
        <w:t>DIVISION-SATPUR, NASHIK, MAHARASHTRA</w:t>
      </w:r>
    </w:p>
    <w:p/>
    <w:p>
      <w:pPr>
        <w:spacing w:after="240"/>
      </w:pPr>
      <w:r>
        <w:rPr>
          <w:rFonts w:ascii="Calibri" w:hAnsi="Calibri"/>
          <w:b/>
          <w:sz w:val="20"/>
        </w:rPr>
        <w:t>SHOW CAUSE CUM DEMAND NOTICE NO: GEXCOM/AE/INV/GST/1886/2026</w:t>
        <w:br/>
        <w:t>CENTRALIZED SCN SR. NO: 07/26-27 DATED 2026</w:t>
        <w:br/>
        <w:t>DIN NO: GEXCOM/AE/INV/GST/1886/2026-AE-O/o COMMR-CGST-NASHIK</w:t>
        <w:br/>
        <w:t>IN THE MATTER OF: PROPOSED DEMAND OF CGST &amp; SGST UNDER SECTION 73 / 74 OF CGST ACT, 2017</w:t>
        <w:br/>
        <w:br/>
        <w:t>IN RE: M/s H R Steel (Prop. Juned Aliahmed Chaudhari),</w:t>
        <w:br/>
        <w:t>GSTIN: 27AGZPC3957D1Z2,</w:t>
        <w:br/>
        <w:t>Address: Plot No.57, GUT No.19/1, Satpur Ambad Link Road, Chinchole, Ambad, Nashik, Maharashtra - 422010. ... NOTICEE / TAXPAYER</w:t>
      </w:r>
    </w:p>
    <w:p>
      <w:pPr>
        <w:spacing w:after="240"/>
        <w:jc w:val="center"/>
      </w:pPr>
      <w:r>
        <w:rPr>
          <w:rFonts w:ascii="Calibri" w:hAnsi="Calibri"/>
          <w:b/>
          <w:color w:val="1E3A8A"/>
          <w:sz w:val="25"/>
        </w:rPr>
        <w:t>EXHAUSTIVE &amp; DETAILED STATUTORY REPLY ON BEHALF OF THE NOTICEE</w:t>
      </w:r>
    </w:p>
    <w:p>
      <w:pPr>
        <w:spacing w:before="160" w:after="60"/>
      </w:pPr>
      <w:r>
        <w:rPr>
          <w:rFonts w:ascii="Calibri" w:hAnsi="Calibri"/>
          <w:b/>
          <w:color w:val="1E3A8A"/>
          <w:sz w:val="23"/>
        </w:rPr>
        <w:t>I. MOST RESPECTFULLY SHOWETH:</w:t>
      </w:r>
    </w:p>
    <w:p>
      <w:pPr>
        <w:spacing w:after="100" w:line="276" w:lineRule="auto"/>
      </w:pPr>
      <w:r>
        <w:rPr>
          <w:rFonts w:ascii="Calibri" w:hAnsi="Calibri"/>
          <w:color w:val="1E293B"/>
          <w:sz w:val="20"/>
        </w:rPr>
        <w:t>1. The Noticee, M/s H R Steel, a sole proprietorship concern duly registered under the Central Goods and Services Tax Act, 2017 ('CGST Act') and Maharashtra Goods and Services Tax Act, 2017 ('MGST Act') bearing GSTIN 27AGZPC3957D1Z2, represented by its Proprietor Mr. Juned Aliahmed Chaudhari, submits this comprehensive legal reply to the Show Cause Cum Demand Notice bearing No. GEXCOM/AE/INV/GST/1886/2026.</w:t>
      </w:r>
    </w:p>
    <w:p>
      <w:pPr>
        <w:spacing w:after="100" w:line="276" w:lineRule="auto"/>
      </w:pPr>
      <w:r>
        <w:rPr>
          <w:rFonts w:ascii="Calibri" w:hAnsi="Calibri"/>
          <w:color w:val="1E293B"/>
          <w:sz w:val="20"/>
        </w:rPr>
        <w:t>2. At the outset, the Noticee denies each and every allegation, contention, proposal, and calculation contained in the Show Cause Notice ('SCN') save and except those that are specifically admitted herein. Nothing contained in the SCN shall be deemed to be accepted or admitted by the Noticee by implication or lack of specific traverse.</w:t>
      </w:r>
    </w:p>
    <w:p>
      <w:pPr>
        <w:spacing w:before="160" w:after="60"/>
      </w:pPr>
      <w:r>
        <w:rPr>
          <w:rFonts w:ascii="Calibri" w:hAnsi="Calibri"/>
          <w:b/>
          <w:color w:val="1E3A8A"/>
          <w:sz w:val="23"/>
        </w:rPr>
        <w:t>II. BRIEF FACTS &amp; NATURE OF BUSINESS OPERATIONS:</w:t>
      </w:r>
    </w:p>
    <w:p>
      <w:pPr>
        <w:spacing w:after="100" w:line="276" w:lineRule="auto"/>
      </w:pPr>
      <w:r>
        <w:rPr>
          <w:rFonts w:ascii="Calibri" w:hAnsi="Calibri"/>
          <w:color w:val="1E293B"/>
          <w:sz w:val="20"/>
        </w:rPr>
        <w:t>3. The Noticee is a legitimate, small-scale registered trader based in Nashik, Maharashtra, actively engaged in the wholesale and retail trading of timber products, sawn wood, and structural iron/steel materials falling under HSN Headings 44 and 72 (specifically wood sawn or chipped lengthwise, sliced or peeled, planed or sanded of thickness exceeding 6mm, plates, sheets, and related items).</w:t>
      </w:r>
    </w:p>
    <w:p>
      <w:pPr>
        <w:spacing w:after="100" w:line="276" w:lineRule="auto"/>
      </w:pPr>
      <w:r>
        <w:rPr>
          <w:rFonts w:ascii="Calibri" w:hAnsi="Calibri"/>
          <w:color w:val="1E293B"/>
          <w:sz w:val="20"/>
        </w:rPr>
        <w:t>4. For the purpose of carrying out its trade, the Noticee purchases goods from regular registered suppliers located within Maharashtra and neighboring states. Every single procurement made by the Noticee is supported by:</w:t>
        <w:br/>
        <w:t xml:space="preserve">   a) Valid Tax Invoices issued by the suppliers under Section 31 of the CGST Act;</w:t>
        <w:br/>
        <w:t xml:space="preserve">   b) Valid e-Way Bills generated on the E-Way Bill portal under Rule 138;</w:t>
        <w:br/>
        <w:t xml:space="preserve">   c) Transporter bilties and weighbridge slip records proving physical movement of goods;</w:t>
        <w:br/>
        <w:t xml:space="preserve">   d) Bank payment vouchers proving 100% settlement of invoice consideration along with applicable GST via account payee cheques / NEFT / RTGS;</w:t>
        <w:br/>
        <w:t xml:space="preserve">   e) Stock ledger entries recording physical receipt of goods at Noticee's yard located at Satpur Ambad Link Road, Nashik.</w:t>
      </w:r>
    </w:p>
    <w:p>
      <w:pPr>
        <w:spacing w:after="100" w:line="276" w:lineRule="auto"/>
      </w:pPr>
      <w:r>
        <w:rPr>
          <w:rFonts w:ascii="Calibri" w:hAnsi="Calibri"/>
          <w:color w:val="1E293B"/>
          <w:sz w:val="20"/>
        </w:rPr>
        <w:t>5. The Noticee has consistently discharged its tax liabilities and filed statutory monthly returns in Form GSTR-1 and Form GSTR-3B well within prescribed due dates.</w:t>
      </w:r>
    </w:p>
    <w:p>
      <w:pPr>
        <w:spacing w:before="160" w:after="60"/>
      </w:pPr>
      <w:r>
        <w:rPr>
          <w:rFonts w:ascii="Calibri" w:hAnsi="Calibri"/>
          <w:b/>
          <w:color w:val="1E3A8A"/>
          <w:sz w:val="23"/>
        </w:rPr>
        <w:t>III. PRELIMINARY OBJECTIONS — PROCEDURAL DISCREPANCIES &amp; LACK OF MANDATORY CONSULTATION:</w:t>
      </w:r>
    </w:p>
    <w:p>
      <w:pPr>
        <w:spacing w:after="100" w:line="276" w:lineRule="auto"/>
      </w:pPr>
      <w:r>
        <w:rPr>
          <w:rFonts w:ascii="Calibri" w:hAnsi="Calibri"/>
          <w:color w:val="1E293B"/>
          <w:sz w:val="20"/>
        </w:rPr>
        <w:t>6. FAILURE TO ISSUE FORM GST DRC-01A (PRE-SCN CONSULTATION):</w:t>
        <w:br/>
        <w:t>The statutory framework mandated under Rule 142(1A) of the CGST Rules, 2017 requires the proper officer to communicate details of tax, interest, and penalty in Part A of Form GST DRC-01A before serving a Show Cause Notice under Section 73(1) or Section 74(1). The underlying intent of Rule 142(1A) is to provide the taxpayer an opportunity to pay tax or clarify discrepancies at the pre-SCN stage. By failing to issue Form GST DRC-01A, the Department has bypassed statutory procedure, causing severe prejudice to the Noticee.</w:t>
      </w:r>
    </w:p>
    <w:p>
      <w:pPr>
        <w:spacing w:after="100" w:line="276" w:lineRule="auto"/>
      </w:pPr>
      <w:r>
        <w:rPr>
          <w:rFonts w:ascii="Calibri" w:hAnsi="Calibri"/>
          <w:color w:val="1E293B"/>
          <w:sz w:val="20"/>
        </w:rPr>
        <w:t>7. VAGUE &amp; UNCONCRETIZED ALLEGATIONS VIOLATING PRINCIPLES OF NATURAL JUSTICE:</w:t>
        <w:br/>
        <w:t>The SCN alleges that certain suppliers from whom the Noticee purchased goods were found 'non-existent' or 'cancelled retrospectively'. However, the SCN fails to provide invoice-wise breakdown, investigation reports, statements of third parties, or inspection logs relied upon by the Anti-Evasion wing. Hon'ble Supreme Court in CCE v. Brindavan Beverages (2007) 5 SCC 388 held that a Show Cause Notice which lacks precise factual particulars or fails to disclose relied-upon documents is void for violation of Natural Justice.</w:t>
      </w:r>
    </w:p>
    <w:p>
      <w:pPr>
        <w:spacing w:before="160" w:after="60"/>
      </w:pPr>
      <w:r>
        <w:rPr>
          <w:rFonts w:ascii="Calibri" w:hAnsi="Calibri"/>
          <w:b/>
          <w:color w:val="1E3A8A"/>
          <w:sz w:val="23"/>
        </w:rPr>
        <w:t>IV. DETAILED LEGAL SUBMISSIONS ON MERITS:</w:t>
      </w:r>
    </w:p>
    <w:p>
      <w:pPr>
        <w:spacing w:after="100" w:line="276" w:lineRule="auto"/>
      </w:pPr>
      <w:r>
        <w:rPr>
          <w:rFonts w:ascii="Calibri" w:hAnsi="Calibri"/>
          <w:color w:val="1E293B"/>
          <w:sz w:val="20"/>
        </w:rPr>
        <w:t>8. FULL SATISFACTION OF STATUTORY CONDITIONS UNDER SECTION 16(2) OF THE CGST ACT:</w:t>
        <w:br/>
        <w:t>Section 16(2) of the CGST Act, 2017 lays down four statutory conditions for entitlement to Input Tax Credit:</w:t>
        <w:br/>
        <w:t xml:space="preserve">   • Condition (a) - Possession of Tax Invoice: The Noticee holds valid tax invoices containing all mandatory particulars under Rule 46.</w:t>
        <w:br/>
        <w:t xml:space="preserve">   • Condition (b) - Receipt of Goods: The goods under HSN 44 &amp; 72 were physically received, unloaded, and entered into stock ledgers, corroborated by e-Way Bills and transport bilties.</w:t>
        <w:br/>
        <w:t xml:space="preserve">   • Condition (c) - Payment of Tax to Government: The Noticee paid the full invoice value including GST to the suppliers. The tax invoice carried explicit statutory certification by the supplier that tax was charged and payable. The Noticee cannot be asked to perform an impossible act ('lex non cogit ad impossibilia') of verifying whether the supplier subsequently deposited the tax into the Treasury.</w:t>
        <w:br/>
        <w:t xml:space="preserve">   • Condition (d) - Filing of Return: The Noticee regularly filed GSTR-3B returns.</w:t>
      </w:r>
    </w:p>
    <w:p>
      <w:pPr>
        <w:spacing w:after="100" w:line="276" w:lineRule="auto"/>
      </w:pPr>
      <w:r>
        <w:rPr>
          <w:rFonts w:ascii="Calibri" w:hAnsi="Calibri"/>
          <w:color w:val="1E293B"/>
          <w:sz w:val="20"/>
        </w:rPr>
        <w:t>9. RETROSPECTIVE CANCELLATION OF SUPPLIER'S REGISTRATION CANNOT INVALIDE GENUINE PAST TRANSACTIONS:</w:t>
        <w:br/>
        <w:t>The Department's proposal to disallow ITC on the ground that a supplier's GSTIN was cancelled retrospectively is legally untenable. At the time of transaction, the supplier's GSTIN was active and verified as valid on the GST Portal. Retrospective cancellation of a supplier's registration by tax authorities does not operate to invalidate genuine commercial transactions executed prior to the date of cancellation.</w:t>
      </w:r>
    </w:p>
    <w:p>
      <w:pPr>
        <w:spacing w:after="100" w:line="276" w:lineRule="auto"/>
      </w:pPr>
      <w:r>
        <w:rPr>
          <w:rFonts w:ascii="Calibri" w:hAnsi="Calibri"/>
          <w:color w:val="1E293B"/>
          <w:sz w:val="20"/>
        </w:rPr>
        <w:t>10. BINDING JUDICIAL PRECEDENTS DIRECTLY GOVERNING THE ISSUE:</w:t>
        <w:br/>
        <w:t>The Noticee relies upon the following settled legal precedents which directly govern this case:</w:t>
      </w:r>
    </w:p>
    <w:p>
      <w:pPr>
        <w:spacing w:after="100" w:line="276" w:lineRule="auto"/>
      </w:pPr>
      <w:r>
        <w:rPr>
          <w:rFonts w:ascii="Calibri" w:hAnsi="Calibri"/>
          <w:color w:val="1E293B"/>
          <w:sz w:val="20"/>
        </w:rPr>
        <w:t xml:space="preserve">   a) Hon'ble Calcutta High Court in Suncraft Energy Venture Pvt. Ltd. v. Assistant Commissioner (2023) 153 taxmann.com 81 (Cal HC):</w:t>
        <w:br/>
        <w:t xml:space="preserve">      The High Court held that the Revenue cannot proceed against the purchasing buyer for reversal of ITC without first initiating recovery proceedings against the defaulting supplier, unless collusion is established by cogent evidence.</w:t>
      </w:r>
    </w:p>
    <w:p>
      <w:pPr>
        <w:spacing w:after="100" w:line="276" w:lineRule="auto"/>
      </w:pPr>
      <w:r>
        <w:rPr>
          <w:rFonts w:ascii="Calibri" w:hAnsi="Calibri"/>
          <w:color w:val="1E293B"/>
          <w:sz w:val="20"/>
        </w:rPr>
        <w:t xml:space="preserve">   b) Hon'ble Madras High Court in D.Y. Beathel Enterprises v. State Tax Officer (2021) 127 taxmann.com 80 (Mad HC):</w:t>
        <w:br/>
        <w:t xml:space="preserve">      The High Court quashed demand orders passed against recipient buyers, holding that when the buyer has paid tax to the seller via banking channels, the officer must examine the seller and exhaust recovery remedies against the seller first.</w:t>
      </w:r>
    </w:p>
    <w:p>
      <w:pPr>
        <w:spacing w:after="100" w:line="276" w:lineRule="auto"/>
      </w:pPr>
      <w:r>
        <w:rPr>
          <w:rFonts w:ascii="Calibri" w:hAnsi="Calibri"/>
          <w:color w:val="1E293B"/>
          <w:sz w:val="20"/>
        </w:rPr>
        <w:t xml:space="preserve">   c) Hon'ble Supreme Court in Union of India v. Bharti Airtel Ltd. (2021) 131 taxmann.com 319 (SC):</w:t>
        <w:br/>
        <w:t xml:space="preserve">      The Supreme Court affirmed that Input Tax Credit is a statutory creation under Section 16(1) and recipient buyers who fulfill statutory criteria cannot be deprived of credit due to system discrepancies.</w:t>
      </w:r>
    </w:p>
    <w:p>
      <w:pPr>
        <w:spacing w:after="100" w:line="276" w:lineRule="auto"/>
      </w:pPr>
      <w:r>
        <w:rPr>
          <w:rFonts w:ascii="Calibri" w:hAnsi="Calibri"/>
          <w:color w:val="1E293B"/>
          <w:sz w:val="20"/>
        </w:rPr>
        <w:t>11. CBIC CIRCULAR NO. 183/15/2022-GST DATED 27.12.2022 &amp; CIRCULAR NO. 193/05/2023-GST:</w:t>
        <w:br/>
        <w:t>The CBIC has clarified that mismatches between GSTR-2A/2B and GSTR-3B are not per se proof of evasion. Where the difference is supported by supplier declarations or certificates, the credit MUST be allowed.</w:t>
      </w:r>
    </w:p>
    <w:p>
      <w:pPr>
        <w:spacing w:before="160" w:after="60"/>
      </w:pPr>
      <w:r>
        <w:rPr>
          <w:rFonts w:ascii="Calibri" w:hAnsi="Calibri"/>
          <w:b/>
          <w:color w:val="1E3A8A"/>
          <w:sz w:val="23"/>
        </w:rPr>
        <w:t>V. UNJUSTIFIED INVOCATION OF EXTENDED PERIOD UNDER SECTION 74 &amp; PROPOSED PENALTY:</w:t>
      </w:r>
    </w:p>
    <w:p>
      <w:pPr>
        <w:spacing w:after="100" w:line="276" w:lineRule="auto"/>
      </w:pPr>
      <w:r>
        <w:rPr>
          <w:rFonts w:ascii="Calibri" w:hAnsi="Calibri"/>
          <w:color w:val="1E293B"/>
          <w:sz w:val="20"/>
        </w:rPr>
        <w:t>12. Section 74 of the CGST Act applies ONLY when tax has not been paid by reason of 'fraud', 'willful misstatement', or 'suppression of facts WITH INTENT TO EVADE TAX'.</w:t>
      </w:r>
    </w:p>
    <w:p>
      <w:pPr>
        <w:spacing w:after="100" w:line="276" w:lineRule="auto"/>
      </w:pPr>
      <w:r>
        <w:rPr>
          <w:rFonts w:ascii="Calibri" w:hAnsi="Calibri"/>
          <w:color w:val="1E293B"/>
          <w:sz w:val="20"/>
        </w:rPr>
        <w:t>13. In the present case, every transaction was recorded in Noticee's audited books of accounts, purchase ledgers, and declared in monthly GSTR-1 and GSTR-3B returns. There was zero concealment or intent to evade tax. As held by the Hon'ble Supreme Court in Cosmic Radio v. CCE (1995) 75 ELT 721 and Tamil Nadu Housing Board v. CCE 1994 Supp (2) SCC 489, mere difference of interpretation or non-payment without active deliberate suppression does not attract extended period of limitation or equal penalty.</w:t>
      </w:r>
    </w:p>
    <w:p>
      <w:pPr>
        <w:spacing w:after="100" w:line="276" w:lineRule="auto"/>
      </w:pPr>
      <w:r>
        <w:rPr>
          <w:rFonts w:ascii="Calibri" w:hAnsi="Calibri"/>
          <w:color w:val="1E293B"/>
          <w:sz w:val="20"/>
        </w:rPr>
        <w:t>14. Consequently, the proposal to invoke Section 74, levy interest under Section 50, and impose 100% penalty under Section 74 / Section 122 is illegal, bad in law, and liable to be dropped.</w:t>
      </w:r>
    </w:p>
    <w:p>
      <w:r>
        <w:rPr>
          <w:rFonts w:ascii="Calibri" w:hAnsi="Calibri"/>
          <w:b/>
          <w:color w:val="1E3A8A"/>
          <w:sz w:val="23"/>
        </w:rPr>
        <w:t>VI. RECAPITULATION TABLE OF SCN ALLEGATIONS VS NOTICEE LEGAL REBUTTAL:</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8"/>
              </w:rPr>
              <w:t>SCN Allegation Ground</w:t>
            </w:r>
          </w:p>
        </w:tc>
        <w:tc>
          <w:tcPr>
            <w:tcW w:type="dxa" w:w="2340"/>
            <w:shd w:fill="1E3A8A"/>
          </w:tcPr>
          <w:p>
            <w:r>
              <w:rPr>
                <w:b/>
                <w:color w:val="FFFFFF"/>
                <w:sz w:val="18"/>
              </w:rPr>
              <w:t>Proposed Tax Demand</w:t>
            </w:r>
          </w:p>
        </w:tc>
        <w:tc>
          <w:tcPr>
            <w:tcW w:type="dxa" w:w="2340"/>
            <w:shd w:fill="1E3A8A"/>
          </w:tcPr>
          <w:p>
            <w:r>
              <w:rPr>
                <w:b/>
                <w:color w:val="FFFFFF"/>
                <w:sz w:val="18"/>
              </w:rPr>
              <w:t>Noticee Statutory Defense</w:t>
            </w:r>
          </w:p>
        </w:tc>
        <w:tc>
          <w:tcPr>
            <w:tcW w:type="dxa" w:w="2340"/>
            <w:shd w:fill="1E3A8A"/>
          </w:tcPr>
          <w:p>
            <w:r>
              <w:rPr>
                <w:b/>
                <w:color w:val="FFFFFF"/>
                <w:sz w:val="18"/>
              </w:rPr>
              <w:t>Legal Result</w:t>
            </w:r>
          </w:p>
        </w:tc>
      </w:tr>
      <w:tr>
        <w:tc>
          <w:tcPr>
            <w:tcW w:type="dxa" w:w="2340"/>
            <w:shd w:fill="FFFFFF"/>
          </w:tcPr>
          <w:p>
            <w:r>
              <w:rPr>
                <w:color w:val="1E293B"/>
                <w:sz w:val="17"/>
              </w:rPr>
              <w:t>Ineligible ITC from Alleged Cancelled Suppliers</w:t>
            </w:r>
          </w:p>
        </w:tc>
        <w:tc>
          <w:tcPr>
            <w:tcW w:type="dxa" w:w="2340"/>
            <w:shd w:fill="FFFFFF"/>
          </w:tcPr>
          <w:p>
            <w:r>
              <w:rPr>
                <w:color w:val="1E293B"/>
                <w:sz w:val="17"/>
              </w:rPr>
              <w:t>As per SCN Annexure</w:t>
            </w:r>
          </w:p>
        </w:tc>
        <w:tc>
          <w:tcPr>
            <w:tcW w:type="dxa" w:w="2340"/>
            <w:shd w:fill="FFFFFF"/>
          </w:tcPr>
          <w:p>
            <w:r>
              <w:rPr>
                <w:color w:val="1E293B"/>
                <w:sz w:val="17"/>
              </w:rPr>
              <w:t>Payments via bank; e-Way bills &amp; stock ledgers intact; Suncraft Energy HC ratio applies</w:t>
            </w:r>
          </w:p>
        </w:tc>
        <w:tc>
          <w:tcPr>
            <w:tcW w:type="dxa" w:w="2340"/>
            <w:shd w:fill="FFFFFF"/>
          </w:tcPr>
          <w:p>
            <w:r>
              <w:rPr>
                <w:color w:val="1E293B"/>
                <w:sz w:val="17"/>
              </w:rPr>
              <w:t>ITC Valid &amp; Retained</w:t>
            </w:r>
          </w:p>
        </w:tc>
      </w:tr>
      <w:tr>
        <w:tc>
          <w:tcPr>
            <w:tcW w:type="dxa" w:w="2340"/>
            <w:shd w:fill="F8FAFC"/>
          </w:tcPr>
          <w:p>
            <w:r>
              <w:rPr>
                <w:color w:val="1E293B"/>
                <w:sz w:val="17"/>
              </w:rPr>
              <w:t>HSN 44/72 Trade Valuation &amp; ITC</w:t>
            </w:r>
          </w:p>
        </w:tc>
        <w:tc>
          <w:tcPr>
            <w:tcW w:type="dxa" w:w="2340"/>
            <w:shd w:fill="F8FAFC"/>
          </w:tcPr>
          <w:p>
            <w:r>
              <w:rPr>
                <w:color w:val="1E293B"/>
                <w:sz w:val="17"/>
              </w:rPr>
              <w:t>As per SCN Annexure</w:t>
            </w:r>
          </w:p>
        </w:tc>
        <w:tc>
          <w:tcPr>
            <w:tcW w:type="dxa" w:w="2340"/>
            <w:shd w:fill="F8FAFC"/>
          </w:tcPr>
          <w:p>
            <w:r>
              <w:rPr>
                <w:color w:val="1E293B"/>
                <w:sz w:val="17"/>
              </w:rPr>
              <w:t>Goods physically received &amp; used in trade; Section 16(2) satisfied; CBIC Cir 183 applies</w:t>
            </w:r>
          </w:p>
        </w:tc>
        <w:tc>
          <w:tcPr>
            <w:tcW w:type="dxa" w:w="2340"/>
            <w:shd w:fill="F8FAFC"/>
          </w:tcPr>
          <w:p>
            <w:r>
              <w:rPr>
                <w:color w:val="1E293B"/>
                <w:sz w:val="17"/>
              </w:rPr>
              <w:t>Demand Dropped</w:t>
            </w:r>
          </w:p>
        </w:tc>
      </w:tr>
      <w:tr>
        <w:tc>
          <w:tcPr>
            <w:tcW w:type="dxa" w:w="2340"/>
            <w:shd w:fill="FFFFFF"/>
          </w:tcPr>
          <w:p>
            <w:r>
              <w:rPr>
                <w:color w:val="1E293B"/>
                <w:sz w:val="17"/>
              </w:rPr>
              <w:t>Section 74 Penalty &amp; Extended Period</w:t>
            </w:r>
          </w:p>
        </w:tc>
        <w:tc>
          <w:tcPr>
            <w:tcW w:type="dxa" w:w="2340"/>
            <w:shd w:fill="FFFFFF"/>
          </w:tcPr>
          <w:p>
            <w:r>
              <w:rPr>
                <w:color w:val="1E293B"/>
                <w:sz w:val="17"/>
              </w:rPr>
              <w:t>100% Equal Penalty</w:t>
            </w:r>
          </w:p>
        </w:tc>
        <w:tc>
          <w:tcPr>
            <w:tcW w:type="dxa" w:w="2340"/>
            <w:shd w:fill="FFFFFF"/>
          </w:tcPr>
          <w:p>
            <w:r>
              <w:rPr>
                <w:color w:val="1E293B"/>
                <w:sz w:val="17"/>
              </w:rPr>
              <w:t>No fraud/suppression; all data reported in GSTR-1/3B; Cosmic Radio SC ratio applies</w:t>
            </w:r>
          </w:p>
        </w:tc>
        <w:tc>
          <w:tcPr>
            <w:tcW w:type="dxa" w:w="2340"/>
            <w:shd w:fill="FFFFFF"/>
          </w:tcPr>
          <w:p>
            <w:r>
              <w:rPr>
                <w:color w:val="1E293B"/>
                <w:sz w:val="17"/>
              </w:rPr>
              <w:t>Penalty Dropped</w:t>
            </w:r>
          </w:p>
        </w:tc>
      </w:tr>
    </w:tbl>
    <w:p/>
    <w:p>
      <w:pPr>
        <w:spacing w:before="160" w:after="60"/>
      </w:pPr>
      <w:r>
        <w:rPr>
          <w:rFonts w:ascii="Calibri" w:hAnsi="Calibri"/>
          <w:b/>
          <w:color w:val="1E3A8A"/>
          <w:sz w:val="23"/>
        </w:rPr>
        <w:t>VII. PRAYER &amp; RELIEF SOUGHT:</w:t>
      </w:r>
    </w:p>
    <w:p>
      <w:pPr>
        <w:spacing w:after="100" w:line="276" w:lineRule="auto"/>
      </w:pPr>
      <w:r>
        <w:rPr>
          <w:rFonts w:ascii="Calibri" w:hAnsi="Calibri"/>
          <w:color w:val="1E293B"/>
          <w:sz w:val="20"/>
        </w:rPr>
        <w:t>In the premises aforesaid, the Noticee most respectfully prays that the Learned Officer be pleased to:</w:t>
      </w:r>
    </w:p>
    <w:p>
      <w:pPr>
        <w:spacing w:after="100" w:line="276" w:lineRule="auto"/>
      </w:pPr>
      <w:r>
        <w:rPr>
          <w:rFonts w:ascii="Calibri" w:hAnsi="Calibri"/>
          <w:color w:val="1E293B"/>
          <w:sz w:val="20"/>
        </w:rPr>
        <w:t xml:space="preserve">   a) DROP the entire proposed demand of CGST and SGST tax along with interest under Section 50 and penalty under Section 74/122 in full;</w:t>
        <w:br/>
        <w:t xml:space="preserve">   b) HOLD that the Noticee has validly availed Input Tax Credit under Section 16 of the CGST Act, 2017;</w:t>
        <w:br/>
        <w:t xml:space="preserve">   c) GRANT an opportunity of Personal Hearing to the Noticee / authorized representative prior to passing any final order;</w:t>
        <w:br/>
        <w:t xml:space="preserve">   d) PASS such further order or directions as may be deemed fit and proper in the interest of equity and justice.</w:t>
      </w:r>
    </w:p>
    <w:p>
      <w:pPr>
        <w:spacing w:before="320"/>
      </w:pPr>
      <w:r>
        <w:rPr>
          <w:rFonts w:ascii="Calibri" w:hAnsi="Calibri"/>
          <w:b/>
          <w:sz w:val="20"/>
        </w:rPr>
        <w:t>VERIFICATION</w:t>
        <w:br/>
        <w:t>I, Juned Aliahmed Chaudhari, Proprietor of M/s H R Steel, do hereby verify and declare that the contents of paragraphs I to VII above are true and correct to the best of my knowledge and belief, based on legal advice and statutory records of the firm. Nothing material has been concealed therefrom.</w:t>
        <w:br/>
        <w:br/>
        <w:t>Verified at Nashik on this _____ day of 2026.</w:t>
        <w:br/>
        <w:br/>
        <w:br/>
        <w:t>For M/s H R Steel</w:t>
        <w:br/>
        <w:br/>
        <w:br/>
        <w:t>(JUNED ALIAHMED CHAUDHARI)</w:t>
        <w:br/>
        <w:t>PROPRIETOR / AUTHORIZED SIGNATORY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7"/>
      </w:rPr>
      <w:t>CONFIDENTIAL &amp; PRIVILEGED LEGAL DRAFTING — PREPARED FOR TAXPAYER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NoticeDesk — Production Legal Draft | M/s H R Steel (SCN Reply)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