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REG-05</w:t>
      </w:r>
    </w:p>
    <w:p>
      <w:pPr>
        <w:jc w:val="left"/>
      </w:pPr>
      <w:r>
        <w:rPr>
          <w:rFonts w:ascii="Times New Roman" w:hAnsi="Times New Roman"/>
          <w:b w:val="0"/>
          <w:i w:val="0"/>
          <w:sz w:val="24"/>
        </w:rPr>
        <w:t>DIN: PQRS15678K</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PQRS15678K</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 of Rejection of Application for Revocation of Cancellation — Revocation of Cancellation APL01</w:t>
      </w:r>
    </w:p>
    <w:p>
      <w:pPr>
        <w:jc w:val="left"/>
      </w:pPr>
      <w:r>
        <w:rPr>
          <w:rFonts w:ascii="Times New Roman" w:hAnsi="Times New Roman"/>
          <w:b w:val="0"/>
          <w:i/>
          <w:sz w:val="24"/>
        </w:rPr>
        <w:t>Statutory reference: Section 74(1)), APL-01, DRC-07,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Proper Officer:</w:t>
      </w:r>
    </w:p>
    <w:p>
      <w:pPr>
        <w:jc w:val="left"/>
      </w:pPr>
      <w:r>
        <w:rPr>
          <w:rFonts w:ascii="Times New Roman" w:hAnsi="Times New Roman"/>
          <w:b/>
          <w:i w:val="0"/>
          <w:sz w:val="24"/>
        </w:rPr>
        <w:t>ALLEGATIONS / GROUNDS</w:t>
      </w:r>
    </w:p>
    <w:p>
      <w:pPr>
        <w:jc w:val="both"/>
      </w:pPr>
      <w:r>
        <w:rPr>
          <w:rFonts w:ascii="Times New Roman" w:hAnsi="Times New Roman"/>
          <w:b w:val="0"/>
          <w:i w:val="0"/>
          <w:sz w:val="24"/>
        </w:rPr>
        <w:t>Arising out of a show cause notice under Section 74(1) alleging supply without actual movement of goods, the registration of the Appellant came to be cancelled and a demand confirmed.</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