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FEBCA" w14:textId="6C2986E5" w:rsidR="00790FD1" w:rsidRDefault="00790FD1">
      <w:pPr>
        <w:rPr>
          <w:lang w:val="es-ES"/>
        </w:rPr>
      </w:pPr>
      <w:r>
        <w:rPr>
          <w:lang w:val="es-ES"/>
        </w:rPr>
        <w:t>introducción</w:t>
      </w:r>
      <w:r>
        <w:rPr>
          <w:lang w:val="es-ES"/>
        </w:rPr>
        <w:br/>
      </w:r>
      <w:r>
        <w:rPr>
          <w:lang w:val="es-ES"/>
        </w:rPr>
        <w:br/>
        <w:t>En las últimas décadas, el software evoluciono de soluciones locales y monolíticas a complejas plataformas distribuidas que operan en la nube. En este proceso de transformación el mantenimiento de software adquirido un papel relevante dentro del ciclo de vida del producto. Inicialmente fue concebido como una etapa posterior a la entrega del sistema, sin embargo, hoy en día se entiende como un proceso continuo y estratégico que asegura la calidad, la vigencia y la funcionalidad del software frente a los constantes cambios tecnológicos y del entorno.</w:t>
      </w:r>
      <w:r>
        <w:rPr>
          <w:lang w:val="es-ES"/>
        </w:rPr>
        <w:br/>
      </w:r>
      <w:r>
        <w:rPr>
          <w:lang w:val="es-ES"/>
        </w:rPr>
        <w:br/>
        <w:t>Este ensayo trata de observar el cambio y el enfoque del mantenimiento del software presentado una línea de tiempo con hitos que han sido clave a lo largo de la historia, añadido a esto se presenta un escenario realista para una empresa dedicada a la tecnología moderna, luego de esto se analizaran los costos asociados a cada una de las categorías de mantenimiento descritas en el SWEBOK, para así ofrecer una visión integral del impacto que tiene el mantenimiento, la competitividad del software y la sostenibilidad del mismo.</w:t>
      </w:r>
      <w:r>
        <w:rPr>
          <w:lang w:val="es-ES"/>
        </w:rPr>
        <w:br/>
      </w:r>
      <w:r>
        <w:rPr>
          <w:lang w:val="es-ES"/>
        </w:rPr>
        <w:br/>
        <w:t>Análisis de la evolución del mantenimiento de software:</w:t>
      </w:r>
      <w:r>
        <w:rPr>
          <w:lang w:val="es-ES"/>
        </w:rPr>
        <w:br/>
      </w:r>
      <w:r>
        <w:rPr>
          <w:lang w:val="es-ES"/>
        </w:rPr>
        <w:br/>
        <w:t xml:space="preserve">Para hablar de la evolución del mantenimiento de software, tendremos que recorrer un camino largo desde sus inicios, como se adapto a los cambios de la tecnología, metodologías de desarrollo y necesidades del mercado. Su evolución </w:t>
      </w:r>
      <w:r w:rsidR="001367E1">
        <w:rPr>
          <w:lang w:val="es-ES"/>
        </w:rPr>
        <w:t>puede dividirse por las siguientes etapas.</w:t>
      </w:r>
      <w:r w:rsidR="001367E1">
        <w:rPr>
          <w:lang w:val="es-ES"/>
        </w:rPr>
        <w:br/>
      </w:r>
      <w:r w:rsidR="001367E1">
        <w:rPr>
          <w:lang w:val="es-ES"/>
        </w:rPr>
        <w:br/>
      </w:r>
    </w:p>
    <w:p w14:paraId="5FBD2EE3" w14:textId="7B14942C" w:rsidR="001367E1" w:rsidRDefault="001367E1" w:rsidP="001367E1">
      <w:pPr>
        <w:pStyle w:val="Prrafodelista"/>
        <w:numPr>
          <w:ilvl w:val="0"/>
          <w:numId w:val="1"/>
        </w:numPr>
        <w:rPr>
          <w:lang w:val="es-ES"/>
        </w:rPr>
      </w:pPr>
      <w:r>
        <w:rPr>
          <w:lang w:val="es-ES"/>
        </w:rPr>
        <w:t xml:space="preserve">Décadas de 1960 – </w:t>
      </w:r>
      <w:r w:rsidR="00CD38BE">
        <w:rPr>
          <w:lang w:val="es-ES"/>
        </w:rPr>
        <w:t>1980:</w:t>
      </w:r>
      <w:r>
        <w:rPr>
          <w:lang w:val="es-ES"/>
        </w:rPr>
        <w:t xml:space="preserve"> El enfoque correctivo y la “crisis del software”</w:t>
      </w:r>
      <w:r>
        <w:rPr>
          <w:lang w:val="es-ES"/>
        </w:rPr>
        <w:br/>
      </w:r>
      <w:r>
        <w:rPr>
          <w:lang w:val="es-ES"/>
        </w:rPr>
        <w:br/>
        <w:t xml:space="preserve">En estos primeros años de la ingeniería de software, el mantenimiento se asociaba con la corrección progresiva de los errores. Este </w:t>
      </w:r>
      <w:r w:rsidR="00CD38BE">
        <w:rPr>
          <w:lang w:val="es-ES"/>
        </w:rPr>
        <w:t>término</w:t>
      </w:r>
      <w:r>
        <w:rPr>
          <w:lang w:val="es-ES"/>
        </w:rPr>
        <w:t xml:space="preserve"> empezó a tomar una gran relevancia tras la crisis del software identificada en la conferencia de Garmisch en 1968, donde se </w:t>
      </w:r>
      <w:r w:rsidR="00CD38BE">
        <w:rPr>
          <w:lang w:val="es-ES"/>
        </w:rPr>
        <w:t>manifestó</w:t>
      </w:r>
      <w:r>
        <w:rPr>
          <w:lang w:val="es-ES"/>
        </w:rPr>
        <w:t xml:space="preserve"> la dificultad de construir y mantener software contable a gran escala. En este periodo, los programas eran desarrollados sin practicas estandarizadas y así mismo el mantenimiento era muy costoso.</w:t>
      </w:r>
      <w:r>
        <w:rPr>
          <w:lang w:val="es-ES"/>
        </w:rPr>
        <w:br/>
      </w:r>
    </w:p>
    <w:p w14:paraId="7DF1B53E" w14:textId="3ACB218E" w:rsidR="001367E1" w:rsidRDefault="001367E1" w:rsidP="001367E1">
      <w:pPr>
        <w:pStyle w:val="Prrafodelista"/>
        <w:numPr>
          <w:ilvl w:val="0"/>
          <w:numId w:val="1"/>
        </w:numPr>
        <w:rPr>
          <w:lang w:val="es-ES"/>
        </w:rPr>
      </w:pPr>
      <w:r>
        <w:rPr>
          <w:lang w:val="es-ES"/>
        </w:rPr>
        <w:lastRenderedPageBreak/>
        <w:t>Década de 1990: Formalización y estándares</w:t>
      </w:r>
      <w:r>
        <w:rPr>
          <w:lang w:val="es-ES"/>
        </w:rPr>
        <w:br/>
      </w:r>
      <w:r>
        <w:rPr>
          <w:lang w:val="es-ES"/>
        </w:rPr>
        <w:br/>
        <w:t xml:space="preserve">En los años 90, con la complejidad del software creciendo y su papel en sectores críticos se introdujeron estándares como el IEEE 1219 que definieron el proceso de mantenimiento. Se reconoció que el mantenimiento no solo debía corregir errores, sino también adaptarse a nuevos entornos, mejorar funcionalidades y prevenir problemas futuros. </w:t>
      </w:r>
      <w:r>
        <w:rPr>
          <w:lang w:val="es-ES"/>
        </w:rPr>
        <w:br/>
      </w:r>
    </w:p>
    <w:p w14:paraId="38FFB0A8" w14:textId="07AB3EB1" w:rsidR="00CD38BE" w:rsidRDefault="00CD38BE" w:rsidP="001367E1">
      <w:pPr>
        <w:pStyle w:val="Prrafodelista"/>
        <w:numPr>
          <w:ilvl w:val="0"/>
          <w:numId w:val="1"/>
        </w:numPr>
        <w:rPr>
          <w:lang w:val="es-ES"/>
        </w:rPr>
      </w:pPr>
      <w:r>
        <w:rPr>
          <w:lang w:val="es-ES"/>
        </w:rPr>
        <w:t>2000 – 2010: Metodologías agiles y mantenimiento continuo</w:t>
      </w:r>
      <w:r>
        <w:rPr>
          <w:lang w:val="es-ES"/>
        </w:rPr>
        <w:br/>
      </w:r>
      <w:r>
        <w:rPr>
          <w:lang w:val="es-ES"/>
        </w:rPr>
        <w:br/>
        <w:t>Con la popularización de las metodologías agiles, el mantenimiento dejo de ser una fase posterior al desarrollo para así convertirse en una actividad recurrente y planificada desde el inicio de proyecto. La entrega continua y los ciclos iterativos que promovieron la refactorización constante, los ajustes funcionales y la mejora de la experiencia del usuario, transformando el mantenimiento en parte del desarrollo mismo.</w:t>
      </w:r>
      <w:r>
        <w:rPr>
          <w:lang w:val="es-ES"/>
        </w:rPr>
        <w:br/>
      </w:r>
    </w:p>
    <w:p w14:paraId="2EC8BB32" w14:textId="78947B05" w:rsidR="00CD38BE" w:rsidRDefault="00CD38BE" w:rsidP="00CD38BE">
      <w:pPr>
        <w:pStyle w:val="Prrafodelista"/>
        <w:numPr>
          <w:ilvl w:val="0"/>
          <w:numId w:val="1"/>
        </w:numPr>
        <w:rPr>
          <w:lang w:val="es-ES"/>
        </w:rPr>
      </w:pPr>
      <w:r>
        <w:rPr>
          <w:lang w:val="es-ES"/>
        </w:rPr>
        <w:t>2010 – 2020: DevOps, CI/CD y microservicios</w:t>
      </w:r>
      <w:r>
        <w:rPr>
          <w:lang w:val="es-ES"/>
        </w:rPr>
        <w:br/>
      </w:r>
      <w:r>
        <w:rPr>
          <w:lang w:val="es-ES"/>
        </w:rPr>
        <w:br/>
        <w:t>Durante esta década, la integración del mantenimiento con operaciones redefinió los flujos de trabajo. A través de la integración y entrega continua, se automatizo la detección y corrección de errores, así como la adaptación del software a nuevos entornos o requisitos. La arquitectura de microservicios también facilito el mantenimiento modular, permitiendo actualizaciones aisladas y con menor riesgo.</w:t>
      </w:r>
      <w:r>
        <w:rPr>
          <w:lang w:val="es-ES"/>
        </w:rPr>
        <w:br/>
      </w:r>
    </w:p>
    <w:p w14:paraId="49B49500" w14:textId="5E05BF5E" w:rsidR="00CD38BE" w:rsidRDefault="00CD38BE" w:rsidP="00CD38BE">
      <w:pPr>
        <w:pStyle w:val="Prrafodelista"/>
        <w:numPr>
          <w:ilvl w:val="0"/>
          <w:numId w:val="1"/>
        </w:numPr>
        <w:rPr>
          <w:lang w:val="es-ES"/>
        </w:rPr>
      </w:pPr>
      <w:r>
        <w:rPr>
          <w:lang w:val="es-ES"/>
        </w:rPr>
        <w:t>2020 – Actualidad</w:t>
      </w:r>
      <w:r>
        <w:rPr>
          <w:lang w:val="es-ES"/>
        </w:rPr>
        <w:br/>
      </w:r>
      <w:r>
        <w:rPr>
          <w:lang w:val="es-ES"/>
        </w:rPr>
        <w:br/>
        <w:t>Actualmente, con el auge de herramientas de monitoreo avanzado, inteligencia artificial se ha empezado a adoptar el mantenimiento predictivo. Ya no solo se reacciona a fallas o solicitudes, sino que se anticipan a problemas mediante análisis de datos y patrones de comportamiento. Esto permite reducir el tiempo de inactividad y mejorar la calidad del servicio de forma proactiva.</w:t>
      </w:r>
      <w:r w:rsidRPr="00CD38BE">
        <w:rPr>
          <w:lang w:val="es-ES"/>
        </w:rPr>
        <w:br/>
      </w:r>
      <w:r w:rsidRPr="00CD38BE">
        <w:rPr>
          <w:lang w:val="es-ES"/>
        </w:rPr>
        <w:br/>
      </w:r>
      <w:r>
        <w:rPr>
          <w:lang w:val="es-ES"/>
        </w:rPr>
        <w:br/>
      </w:r>
      <w:r>
        <w:rPr>
          <w:lang w:val="es-ES"/>
        </w:rPr>
        <w:br/>
      </w:r>
      <w:r>
        <w:rPr>
          <w:lang w:val="es-ES"/>
        </w:rPr>
        <w:lastRenderedPageBreak/>
        <w:br/>
      </w:r>
    </w:p>
    <w:p w14:paraId="05B65D2E" w14:textId="77777777" w:rsidR="00CD38BE" w:rsidRDefault="00CD38BE" w:rsidP="00CD38BE">
      <w:pPr>
        <w:rPr>
          <w:lang w:val="es-ES"/>
        </w:rPr>
      </w:pPr>
    </w:p>
    <w:tbl>
      <w:tblPr>
        <w:tblStyle w:val="Tabladecuadrcula3"/>
        <w:tblW w:w="0" w:type="auto"/>
        <w:tblLook w:val="04A0" w:firstRow="1" w:lastRow="0" w:firstColumn="1" w:lastColumn="0" w:noHBand="0" w:noVBand="1"/>
      </w:tblPr>
      <w:tblGrid>
        <w:gridCol w:w="805"/>
        <w:gridCol w:w="3780"/>
        <w:gridCol w:w="4243"/>
      </w:tblGrid>
      <w:tr w:rsidR="00CD38BE" w14:paraId="68BAD148" w14:textId="77777777" w:rsidTr="00B0022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05" w:type="dxa"/>
          </w:tcPr>
          <w:p w14:paraId="7B30D143" w14:textId="4FF62620" w:rsidR="00CD38BE" w:rsidRDefault="00CD38BE" w:rsidP="00CD38BE">
            <w:pPr>
              <w:rPr>
                <w:lang w:val="es-ES"/>
              </w:rPr>
            </w:pPr>
            <w:r>
              <w:rPr>
                <w:lang w:val="es-ES"/>
              </w:rPr>
              <w:t xml:space="preserve">Año </w:t>
            </w:r>
          </w:p>
        </w:tc>
        <w:tc>
          <w:tcPr>
            <w:tcW w:w="3780" w:type="dxa"/>
          </w:tcPr>
          <w:p w14:paraId="1AD90302" w14:textId="6BC868C6" w:rsidR="00CD38BE" w:rsidRDefault="00CD38BE" w:rsidP="00CD38BE">
            <w:pPr>
              <w:cnfStyle w:val="100000000000" w:firstRow="1" w:lastRow="0" w:firstColumn="0" w:lastColumn="0" w:oddVBand="0" w:evenVBand="0" w:oddHBand="0" w:evenHBand="0" w:firstRowFirstColumn="0" w:firstRowLastColumn="0" w:lastRowFirstColumn="0" w:lastRowLastColumn="0"/>
              <w:rPr>
                <w:lang w:val="es-ES"/>
              </w:rPr>
            </w:pPr>
            <w:r>
              <w:rPr>
                <w:lang w:val="es-ES"/>
              </w:rPr>
              <w:t>Hito</w:t>
            </w:r>
          </w:p>
        </w:tc>
        <w:tc>
          <w:tcPr>
            <w:tcW w:w="4243" w:type="dxa"/>
          </w:tcPr>
          <w:p w14:paraId="12552D62" w14:textId="49330EBF" w:rsidR="00CD38BE" w:rsidRDefault="00011E0C" w:rsidP="00CD38BE">
            <w:pPr>
              <w:cnfStyle w:val="100000000000" w:firstRow="1" w:lastRow="0" w:firstColumn="0" w:lastColumn="0" w:oddVBand="0" w:evenVBand="0" w:oddHBand="0" w:evenHBand="0" w:firstRowFirstColumn="0" w:firstRowLastColumn="0" w:lastRowFirstColumn="0" w:lastRowLastColumn="0"/>
              <w:rPr>
                <w:lang w:val="es-ES"/>
              </w:rPr>
            </w:pPr>
            <w:r>
              <w:rPr>
                <w:lang w:val="es-ES"/>
              </w:rPr>
              <w:t>Descripción</w:t>
            </w:r>
          </w:p>
        </w:tc>
      </w:tr>
      <w:tr w:rsidR="00CD38BE" w14:paraId="02C1FC75" w14:textId="77777777" w:rsidTr="00B00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61FB9856" w14:textId="015E06EC" w:rsidR="00CD38BE" w:rsidRDefault="00B00222" w:rsidP="00CD38BE">
            <w:pPr>
              <w:rPr>
                <w:lang w:val="es-ES"/>
              </w:rPr>
            </w:pPr>
            <w:r>
              <w:rPr>
                <w:lang w:val="es-ES"/>
              </w:rPr>
              <w:t>1968</w:t>
            </w:r>
          </w:p>
        </w:tc>
        <w:tc>
          <w:tcPr>
            <w:tcW w:w="3780" w:type="dxa"/>
          </w:tcPr>
          <w:p w14:paraId="0C100BA3" w14:textId="32155DA8" w:rsidR="00CD38BE" w:rsidRDefault="00B00222" w:rsidP="00CD38BE">
            <w:pPr>
              <w:cnfStyle w:val="000000100000" w:firstRow="0" w:lastRow="0" w:firstColumn="0" w:lastColumn="0" w:oddVBand="0" w:evenVBand="0" w:oddHBand="1" w:evenHBand="0" w:firstRowFirstColumn="0" w:firstRowLastColumn="0" w:lastRowFirstColumn="0" w:lastRowLastColumn="0"/>
              <w:rPr>
                <w:lang w:val="es-ES"/>
              </w:rPr>
            </w:pPr>
            <w:r>
              <w:rPr>
                <w:lang w:val="es-ES"/>
              </w:rPr>
              <w:t>Conferencia de Garmisch</w:t>
            </w:r>
          </w:p>
        </w:tc>
        <w:tc>
          <w:tcPr>
            <w:tcW w:w="4243" w:type="dxa"/>
          </w:tcPr>
          <w:p w14:paraId="5E9B315F" w14:textId="6E2D79CD" w:rsidR="00CD38BE" w:rsidRDefault="00B00222" w:rsidP="00CD38BE">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En esta conferencia se acuño el </w:t>
            </w:r>
            <w:r w:rsidR="00011E0C">
              <w:rPr>
                <w:lang w:val="es-ES"/>
              </w:rPr>
              <w:t>término</w:t>
            </w:r>
            <w:r>
              <w:rPr>
                <w:lang w:val="es-ES"/>
              </w:rPr>
              <w:t xml:space="preserve"> “crisis de software”, en la que se destaco las dificultades para mantener sistemas complejos, y se sentaron las bases </w:t>
            </w:r>
          </w:p>
        </w:tc>
      </w:tr>
      <w:tr w:rsidR="00CD38BE" w14:paraId="1B446E16" w14:textId="77777777" w:rsidTr="00B00222">
        <w:tc>
          <w:tcPr>
            <w:cnfStyle w:val="001000000000" w:firstRow="0" w:lastRow="0" w:firstColumn="1" w:lastColumn="0" w:oddVBand="0" w:evenVBand="0" w:oddHBand="0" w:evenHBand="0" w:firstRowFirstColumn="0" w:firstRowLastColumn="0" w:lastRowFirstColumn="0" w:lastRowLastColumn="0"/>
            <w:tcW w:w="805" w:type="dxa"/>
          </w:tcPr>
          <w:p w14:paraId="66FEBA0A" w14:textId="4D3E2BDC" w:rsidR="00CD38BE" w:rsidRDefault="00B00222" w:rsidP="00CD38BE">
            <w:pPr>
              <w:rPr>
                <w:lang w:val="es-ES"/>
              </w:rPr>
            </w:pPr>
            <w:r>
              <w:rPr>
                <w:lang w:val="es-ES"/>
              </w:rPr>
              <w:t>1984</w:t>
            </w:r>
          </w:p>
        </w:tc>
        <w:tc>
          <w:tcPr>
            <w:tcW w:w="3780" w:type="dxa"/>
          </w:tcPr>
          <w:p w14:paraId="553411E9" w14:textId="3B8D25D4" w:rsidR="00CD38BE" w:rsidRDefault="00685743" w:rsidP="00CD38BE">
            <w:pPr>
              <w:cnfStyle w:val="000000000000" w:firstRow="0" w:lastRow="0" w:firstColumn="0" w:lastColumn="0" w:oddVBand="0" w:evenVBand="0" w:oddHBand="0" w:evenHBand="0" w:firstRowFirstColumn="0" w:firstRowLastColumn="0" w:lastRowFirstColumn="0" w:lastRowLastColumn="0"/>
              <w:rPr>
                <w:lang w:val="es-ES"/>
              </w:rPr>
            </w:pPr>
            <w:r>
              <w:rPr>
                <w:lang w:val="es-ES"/>
              </w:rPr>
              <w:t>Publicación</w:t>
            </w:r>
            <w:r w:rsidR="00B00222">
              <w:rPr>
                <w:lang w:val="es-ES"/>
              </w:rPr>
              <w:t xml:space="preserve"> del estándar IEEE 1219</w:t>
            </w:r>
          </w:p>
        </w:tc>
        <w:tc>
          <w:tcPr>
            <w:tcW w:w="4243" w:type="dxa"/>
          </w:tcPr>
          <w:p w14:paraId="49A0074A" w14:textId="34B36E7E" w:rsidR="00CD38BE" w:rsidRDefault="003825B5" w:rsidP="00CD38BE">
            <w:pPr>
              <w:cnfStyle w:val="000000000000" w:firstRow="0" w:lastRow="0" w:firstColumn="0" w:lastColumn="0" w:oddVBand="0" w:evenVBand="0" w:oddHBand="0" w:evenHBand="0" w:firstRowFirstColumn="0" w:firstRowLastColumn="0" w:lastRowFirstColumn="0" w:lastRowLastColumn="0"/>
              <w:rPr>
                <w:lang w:val="es-ES"/>
              </w:rPr>
            </w:pPr>
            <w:r>
              <w:rPr>
                <w:lang w:val="es-ES"/>
              </w:rPr>
              <w:t>Se estableció un marco formal para los procesos de mantenimiento de software, diferenciado actividades como análisis, diseño, pruebas y documentación dentro del contexto de mantenimiento</w:t>
            </w:r>
          </w:p>
        </w:tc>
      </w:tr>
      <w:tr w:rsidR="00CD38BE" w14:paraId="664BA293" w14:textId="77777777" w:rsidTr="00B00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2B40116B" w14:textId="6180DE2D" w:rsidR="00CD38BE" w:rsidRDefault="00B00222" w:rsidP="00CD38BE">
            <w:pPr>
              <w:rPr>
                <w:lang w:val="es-ES"/>
              </w:rPr>
            </w:pPr>
            <w:r>
              <w:rPr>
                <w:lang w:val="es-ES"/>
              </w:rPr>
              <w:t>2001</w:t>
            </w:r>
          </w:p>
        </w:tc>
        <w:tc>
          <w:tcPr>
            <w:tcW w:w="3780" w:type="dxa"/>
          </w:tcPr>
          <w:p w14:paraId="53E8FE07" w14:textId="5425D8A5" w:rsidR="00CD38BE" w:rsidRDefault="00B00222" w:rsidP="00CD38BE">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Manifiesto </w:t>
            </w:r>
            <w:proofErr w:type="spellStart"/>
            <w:r>
              <w:rPr>
                <w:lang w:val="es-ES"/>
              </w:rPr>
              <w:t>Agil</w:t>
            </w:r>
            <w:proofErr w:type="spellEnd"/>
          </w:p>
        </w:tc>
        <w:tc>
          <w:tcPr>
            <w:tcW w:w="4243" w:type="dxa"/>
          </w:tcPr>
          <w:p w14:paraId="2C662950" w14:textId="3853688E" w:rsidR="00CD38BE" w:rsidRDefault="003825B5" w:rsidP="00CD38BE">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Aunque no enfocado exclusivamente al mantenimiento, este documento impulso un cambio de mentalidad hacia los ciclos cortos de mejora continua. </w:t>
            </w:r>
          </w:p>
        </w:tc>
      </w:tr>
      <w:tr w:rsidR="00CD38BE" w14:paraId="74C92C6F" w14:textId="77777777" w:rsidTr="00B00222">
        <w:tc>
          <w:tcPr>
            <w:cnfStyle w:val="001000000000" w:firstRow="0" w:lastRow="0" w:firstColumn="1" w:lastColumn="0" w:oddVBand="0" w:evenVBand="0" w:oddHBand="0" w:evenHBand="0" w:firstRowFirstColumn="0" w:firstRowLastColumn="0" w:lastRowFirstColumn="0" w:lastRowLastColumn="0"/>
            <w:tcW w:w="805" w:type="dxa"/>
          </w:tcPr>
          <w:p w14:paraId="7EA8CA4C" w14:textId="6BB97F8D" w:rsidR="00CD38BE" w:rsidRDefault="00B00222" w:rsidP="00CD38BE">
            <w:pPr>
              <w:rPr>
                <w:lang w:val="es-ES"/>
              </w:rPr>
            </w:pPr>
            <w:r>
              <w:rPr>
                <w:lang w:val="es-ES"/>
              </w:rPr>
              <w:t>2004</w:t>
            </w:r>
          </w:p>
        </w:tc>
        <w:tc>
          <w:tcPr>
            <w:tcW w:w="3780" w:type="dxa"/>
          </w:tcPr>
          <w:p w14:paraId="2C65D134" w14:textId="28707376" w:rsidR="00CD38BE" w:rsidRDefault="00685743" w:rsidP="00CD38BE">
            <w:pPr>
              <w:cnfStyle w:val="000000000000" w:firstRow="0" w:lastRow="0" w:firstColumn="0" w:lastColumn="0" w:oddVBand="0" w:evenVBand="0" w:oddHBand="0" w:evenHBand="0" w:firstRowFirstColumn="0" w:firstRowLastColumn="0" w:lastRowFirstColumn="0" w:lastRowLastColumn="0"/>
              <w:rPr>
                <w:lang w:val="es-ES"/>
              </w:rPr>
            </w:pPr>
            <w:r>
              <w:rPr>
                <w:lang w:val="es-ES"/>
              </w:rPr>
              <w:t>Publicación</w:t>
            </w:r>
            <w:r w:rsidR="00B00222">
              <w:rPr>
                <w:lang w:val="es-ES"/>
              </w:rPr>
              <w:t xml:space="preserve"> del </w:t>
            </w:r>
            <w:proofErr w:type="spellStart"/>
            <w:r w:rsidR="00B00222">
              <w:rPr>
                <w:lang w:val="es-ES"/>
              </w:rPr>
              <w:t>SWEBoK</w:t>
            </w:r>
            <w:proofErr w:type="spellEnd"/>
          </w:p>
        </w:tc>
        <w:tc>
          <w:tcPr>
            <w:tcW w:w="4243" w:type="dxa"/>
          </w:tcPr>
          <w:p w14:paraId="59177AA7" w14:textId="46F6FF21" w:rsidR="00CD38BE" w:rsidRDefault="00011E0C" w:rsidP="00CD38BE">
            <w:pPr>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El Software </w:t>
            </w:r>
            <w:proofErr w:type="spellStart"/>
            <w:r>
              <w:rPr>
                <w:lang w:val="es-ES"/>
              </w:rPr>
              <w:t>Body</w:t>
            </w:r>
            <w:proofErr w:type="spellEnd"/>
            <w:r>
              <w:rPr>
                <w:lang w:val="es-ES"/>
              </w:rPr>
              <w:t xml:space="preserve"> </w:t>
            </w:r>
            <w:proofErr w:type="spellStart"/>
            <w:r>
              <w:rPr>
                <w:lang w:val="es-ES"/>
              </w:rPr>
              <w:t>of</w:t>
            </w:r>
            <w:proofErr w:type="spellEnd"/>
            <w:r>
              <w:rPr>
                <w:lang w:val="es-ES"/>
              </w:rPr>
              <w:t xml:space="preserve"> </w:t>
            </w:r>
            <w:proofErr w:type="spellStart"/>
            <w:r>
              <w:rPr>
                <w:lang w:val="es-ES"/>
              </w:rPr>
              <w:t>Knowledge</w:t>
            </w:r>
            <w:proofErr w:type="spellEnd"/>
            <w:r>
              <w:rPr>
                <w:lang w:val="es-ES"/>
              </w:rPr>
              <w:t xml:space="preserve"> clasifico el mantenimiento en cuatro tipos: correctivo, adaptativo, perfectivo y preventivo</w:t>
            </w:r>
          </w:p>
        </w:tc>
      </w:tr>
      <w:tr w:rsidR="00CD38BE" w14:paraId="028B1DD6" w14:textId="77777777" w:rsidTr="00B00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64BAA15F" w14:textId="2B0F24E1" w:rsidR="00CD38BE" w:rsidRDefault="00B00222" w:rsidP="00CD38BE">
            <w:pPr>
              <w:rPr>
                <w:lang w:val="es-ES"/>
              </w:rPr>
            </w:pPr>
            <w:r>
              <w:rPr>
                <w:lang w:val="es-ES"/>
              </w:rPr>
              <w:t>2010</w:t>
            </w:r>
          </w:p>
        </w:tc>
        <w:tc>
          <w:tcPr>
            <w:tcW w:w="3780" w:type="dxa"/>
          </w:tcPr>
          <w:p w14:paraId="66CDADE0" w14:textId="0731EEF9" w:rsidR="00CD38BE" w:rsidRDefault="00B00222" w:rsidP="00CD38BE">
            <w:pPr>
              <w:cnfStyle w:val="000000100000" w:firstRow="0" w:lastRow="0" w:firstColumn="0" w:lastColumn="0" w:oddVBand="0" w:evenVBand="0" w:oddHBand="1" w:evenHBand="0" w:firstRowFirstColumn="0" w:firstRowLastColumn="0" w:lastRowFirstColumn="0" w:lastRowLastColumn="0"/>
              <w:rPr>
                <w:lang w:val="es-ES"/>
              </w:rPr>
            </w:pPr>
            <w:r>
              <w:rPr>
                <w:lang w:val="es-ES"/>
              </w:rPr>
              <w:t>Adopción de DevOps y CI/CD</w:t>
            </w:r>
          </w:p>
        </w:tc>
        <w:tc>
          <w:tcPr>
            <w:tcW w:w="4243" w:type="dxa"/>
          </w:tcPr>
          <w:p w14:paraId="7B944795" w14:textId="527E564D" w:rsidR="00CD38BE" w:rsidRDefault="00011E0C" w:rsidP="00CD38BE">
            <w:pPr>
              <w:cnfStyle w:val="000000100000" w:firstRow="0" w:lastRow="0" w:firstColumn="0" w:lastColumn="0" w:oddVBand="0" w:evenVBand="0" w:oddHBand="1" w:evenHBand="0" w:firstRowFirstColumn="0" w:firstRowLastColumn="0" w:lastRowFirstColumn="0" w:lastRowLastColumn="0"/>
              <w:rPr>
                <w:lang w:val="es-ES"/>
              </w:rPr>
            </w:pPr>
            <w:r>
              <w:rPr>
                <w:lang w:val="es-ES"/>
              </w:rPr>
              <w:t>Con la integración de equipos de desarrollo y operaciones, el mantenimiento se volvió más ágil, automatizado y menos reactivo</w:t>
            </w:r>
          </w:p>
        </w:tc>
      </w:tr>
      <w:tr w:rsidR="00B00222" w14:paraId="409EEC11" w14:textId="77777777" w:rsidTr="00B00222">
        <w:tc>
          <w:tcPr>
            <w:cnfStyle w:val="001000000000" w:firstRow="0" w:lastRow="0" w:firstColumn="1" w:lastColumn="0" w:oddVBand="0" w:evenVBand="0" w:oddHBand="0" w:evenHBand="0" w:firstRowFirstColumn="0" w:firstRowLastColumn="0" w:lastRowFirstColumn="0" w:lastRowLastColumn="0"/>
            <w:tcW w:w="805" w:type="dxa"/>
          </w:tcPr>
          <w:p w14:paraId="62BD8FDB" w14:textId="2ED46A2D" w:rsidR="00B00222" w:rsidRDefault="00B00222" w:rsidP="00CD38BE">
            <w:pPr>
              <w:rPr>
                <w:lang w:val="es-ES"/>
              </w:rPr>
            </w:pPr>
            <w:r>
              <w:rPr>
                <w:lang w:val="es-ES"/>
              </w:rPr>
              <w:t>2020</w:t>
            </w:r>
          </w:p>
        </w:tc>
        <w:tc>
          <w:tcPr>
            <w:tcW w:w="3780" w:type="dxa"/>
          </w:tcPr>
          <w:p w14:paraId="1D44BA6C" w14:textId="68501205" w:rsidR="00B00222" w:rsidRDefault="00B00222" w:rsidP="00CD38BE">
            <w:pPr>
              <w:cnfStyle w:val="000000000000" w:firstRow="0" w:lastRow="0" w:firstColumn="0" w:lastColumn="0" w:oddVBand="0" w:evenVBand="0" w:oddHBand="0" w:evenHBand="0" w:firstRowFirstColumn="0" w:firstRowLastColumn="0" w:lastRowFirstColumn="0" w:lastRowLastColumn="0"/>
              <w:rPr>
                <w:lang w:val="es-ES"/>
              </w:rPr>
            </w:pPr>
            <w:r>
              <w:rPr>
                <w:lang w:val="es-ES"/>
              </w:rPr>
              <w:t>Inteligencia Artificial y Observabilidad</w:t>
            </w:r>
          </w:p>
        </w:tc>
        <w:tc>
          <w:tcPr>
            <w:tcW w:w="4243" w:type="dxa"/>
          </w:tcPr>
          <w:p w14:paraId="70B0905B" w14:textId="74BC4DAD" w:rsidR="00B00222" w:rsidRDefault="00011E0C" w:rsidP="00CD38BE">
            <w:pPr>
              <w:cnfStyle w:val="000000000000" w:firstRow="0" w:lastRow="0" w:firstColumn="0" w:lastColumn="0" w:oddVBand="0" w:evenVBand="0" w:oddHBand="0" w:evenHBand="0" w:firstRowFirstColumn="0" w:firstRowLastColumn="0" w:lastRowFirstColumn="0" w:lastRowLastColumn="0"/>
              <w:rPr>
                <w:lang w:val="es-ES"/>
              </w:rPr>
            </w:pPr>
            <w:r>
              <w:rPr>
                <w:lang w:val="es-ES"/>
              </w:rPr>
              <w:t>Se adoptan sistemas de monitoreo avanzados y mantenimiento predictivo basado en datos, ahora el mantenimiento anticipa errores para que no lleguen al usuario final.</w:t>
            </w:r>
          </w:p>
        </w:tc>
      </w:tr>
    </w:tbl>
    <w:p w14:paraId="12D9FD1E" w14:textId="0AAEFBE1" w:rsidR="00CD38BE" w:rsidRDefault="00011E0C" w:rsidP="00CD38BE">
      <w:pPr>
        <w:rPr>
          <w:lang w:val="es-ES"/>
        </w:rPr>
      </w:pPr>
      <w:r>
        <w:rPr>
          <w:lang w:val="es-ES"/>
        </w:rPr>
        <w:br/>
        <w:t xml:space="preserve">Escenario planteado: </w:t>
      </w:r>
      <w:r>
        <w:rPr>
          <w:lang w:val="es-ES"/>
        </w:rPr>
        <w:br/>
      </w:r>
      <w:r>
        <w:rPr>
          <w:lang w:val="es-ES"/>
        </w:rPr>
        <w:br/>
        <w:t xml:space="preserve">Nombre de la empresa: </w:t>
      </w:r>
      <w:proofErr w:type="spellStart"/>
      <w:r>
        <w:rPr>
          <w:lang w:val="es-ES"/>
        </w:rPr>
        <w:t>NexusHealth</w:t>
      </w:r>
      <w:proofErr w:type="spellEnd"/>
      <w:r>
        <w:rPr>
          <w:lang w:val="es-ES"/>
        </w:rPr>
        <w:t xml:space="preserve"> </w:t>
      </w:r>
      <w:r>
        <w:rPr>
          <w:lang w:val="es-ES"/>
        </w:rPr>
        <w:br/>
        <w:t>Sector: Salud digital</w:t>
      </w:r>
      <w:r>
        <w:rPr>
          <w:lang w:val="es-ES"/>
        </w:rPr>
        <w:br/>
        <w:t>Tipo de producto: Plataforma SaaS</w:t>
      </w:r>
      <w:r>
        <w:rPr>
          <w:lang w:val="es-ES"/>
        </w:rPr>
        <w:br/>
        <w:t xml:space="preserve">Nombre del producto: </w:t>
      </w:r>
      <w:proofErr w:type="spellStart"/>
      <w:r>
        <w:rPr>
          <w:lang w:val="es-ES"/>
        </w:rPr>
        <w:t>NexusCare</w:t>
      </w:r>
      <w:proofErr w:type="spellEnd"/>
      <w:r>
        <w:rPr>
          <w:lang w:val="es-ES"/>
        </w:rPr>
        <w:br/>
      </w:r>
      <w:r>
        <w:rPr>
          <w:lang w:val="es-ES"/>
        </w:rPr>
        <w:br/>
      </w:r>
      <w:r>
        <w:rPr>
          <w:lang w:val="es-ES"/>
        </w:rPr>
        <w:lastRenderedPageBreak/>
        <w:t>Particularidades del producto:</w:t>
      </w:r>
      <w:r>
        <w:rPr>
          <w:lang w:val="es-ES"/>
        </w:rPr>
        <w:br/>
      </w:r>
      <w:r>
        <w:rPr>
          <w:lang w:val="es-ES"/>
        </w:rPr>
        <w:br/>
      </w:r>
    </w:p>
    <w:p w14:paraId="2054624D" w14:textId="622FB22D" w:rsidR="00011E0C" w:rsidRDefault="00C07745" w:rsidP="00011E0C">
      <w:pPr>
        <w:pStyle w:val="Prrafodelista"/>
        <w:numPr>
          <w:ilvl w:val="0"/>
          <w:numId w:val="2"/>
        </w:numPr>
        <w:rPr>
          <w:lang w:val="es-ES"/>
        </w:rPr>
      </w:pPr>
      <w:r>
        <w:rPr>
          <w:lang w:val="es-ES"/>
        </w:rPr>
        <w:t xml:space="preserve">Solución SaaS en la nube: La plataforma se encuentra en Amazon Web </w:t>
      </w:r>
      <w:proofErr w:type="spellStart"/>
      <w:r>
        <w:rPr>
          <w:lang w:val="es-ES"/>
        </w:rPr>
        <w:t>Services</w:t>
      </w:r>
      <w:proofErr w:type="spellEnd"/>
      <w:r>
        <w:rPr>
          <w:lang w:val="es-ES"/>
        </w:rPr>
        <w:t>, permitiendo el acceso desde múltiples dispositivos y ubicaciones</w:t>
      </w:r>
    </w:p>
    <w:p w14:paraId="77E682DA" w14:textId="4891A182" w:rsidR="00C07745" w:rsidRDefault="00C07745" w:rsidP="00011E0C">
      <w:pPr>
        <w:pStyle w:val="Prrafodelista"/>
        <w:numPr>
          <w:ilvl w:val="0"/>
          <w:numId w:val="2"/>
        </w:numPr>
        <w:rPr>
          <w:lang w:val="es-ES"/>
        </w:rPr>
      </w:pPr>
      <w:r>
        <w:rPr>
          <w:lang w:val="es-ES"/>
        </w:rPr>
        <w:t xml:space="preserve">Compatibilidad multiplataforma: Los usuarios pueden acceder a </w:t>
      </w:r>
      <w:proofErr w:type="spellStart"/>
      <w:r>
        <w:rPr>
          <w:lang w:val="es-ES"/>
        </w:rPr>
        <w:t>NexusCare</w:t>
      </w:r>
      <w:proofErr w:type="spellEnd"/>
      <w:r>
        <w:rPr>
          <w:lang w:val="es-ES"/>
        </w:rPr>
        <w:t xml:space="preserve"> desde aplicaciones móviles y navegadores web.</w:t>
      </w:r>
    </w:p>
    <w:p w14:paraId="5F9AE81B" w14:textId="76DF8123" w:rsidR="00C07745" w:rsidRDefault="00C07745" w:rsidP="00011E0C">
      <w:pPr>
        <w:pStyle w:val="Prrafodelista"/>
        <w:numPr>
          <w:ilvl w:val="0"/>
          <w:numId w:val="2"/>
        </w:numPr>
        <w:rPr>
          <w:lang w:val="es-ES"/>
        </w:rPr>
      </w:pPr>
      <w:r>
        <w:rPr>
          <w:lang w:val="es-ES"/>
        </w:rPr>
        <w:t xml:space="preserve">Integración </w:t>
      </w:r>
      <w:r w:rsidR="00685743">
        <w:rPr>
          <w:lang w:val="es-ES"/>
        </w:rPr>
        <w:t>vía</w:t>
      </w:r>
      <w:r>
        <w:rPr>
          <w:lang w:val="es-ES"/>
        </w:rPr>
        <w:t xml:space="preserve"> API: El sistema cuenta con una API </w:t>
      </w:r>
      <w:proofErr w:type="spellStart"/>
      <w:r>
        <w:rPr>
          <w:lang w:val="es-ES"/>
        </w:rPr>
        <w:t>RESTful</w:t>
      </w:r>
      <w:proofErr w:type="spellEnd"/>
      <w:r>
        <w:rPr>
          <w:lang w:val="es-ES"/>
        </w:rPr>
        <w:t xml:space="preserve"> que permite conectarse con plataformas de laboratorios, seguros médicos y sistemas de facturación.</w:t>
      </w:r>
    </w:p>
    <w:p w14:paraId="4C9BF090" w14:textId="224F09D1" w:rsidR="00C07745" w:rsidRDefault="00C07745" w:rsidP="00011E0C">
      <w:pPr>
        <w:pStyle w:val="Prrafodelista"/>
        <w:numPr>
          <w:ilvl w:val="0"/>
          <w:numId w:val="2"/>
        </w:numPr>
        <w:rPr>
          <w:lang w:val="es-ES"/>
        </w:rPr>
      </w:pPr>
      <w:r>
        <w:rPr>
          <w:lang w:val="es-ES"/>
        </w:rPr>
        <w:t xml:space="preserve">Cumplimento normativo: </w:t>
      </w:r>
      <w:proofErr w:type="spellStart"/>
      <w:r>
        <w:rPr>
          <w:lang w:val="es-ES"/>
        </w:rPr>
        <w:t>NexusCare</w:t>
      </w:r>
      <w:proofErr w:type="spellEnd"/>
      <w:r>
        <w:rPr>
          <w:lang w:val="es-ES"/>
        </w:rPr>
        <w:t xml:space="preserve"> cumple con la ley HIPAAA (</w:t>
      </w:r>
      <w:proofErr w:type="spellStart"/>
      <w:r>
        <w:rPr>
          <w:lang w:val="es-ES"/>
        </w:rPr>
        <w:t>Health</w:t>
      </w:r>
      <w:proofErr w:type="spellEnd"/>
      <w:r>
        <w:rPr>
          <w:lang w:val="es-ES"/>
        </w:rPr>
        <w:t xml:space="preserve"> </w:t>
      </w:r>
      <w:proofErr w:type="spellStart"/>
      <w:r>
        <w:rPr>
          <w:lang w:val="es-ES"/>
        </w:rPr>
        <w:t>Insurance</w:t>
      </w:r>
      <w:proofErr w:type="spellEnd"/>
      <w:r>
        <w:rPr>
          <w:lang w:val="es-ES"/>
        </w:rPr>
        <w:t xml:space="preserve"> </w:t>
      </w:r>
      <w:proofErr w:type="spellStart"/>
      <w:r>
        <w:rPr>
          <w:lang w:val="es-ES"/>
        </w:rPr>
        <w:t>Portability</w:t>
      </w:r>
      <w:proofErr w:type="spellEnd"/>
      <w:r>
        <w:rPr>
          <w:lang w:val="es-ES"/>
        </w:rPr>
        <w:t xml:space="preserve"> and </w:t>
      </w:r>
      <w:proofErr w:type="spellStart"/>
      <w:r>
        <w:rPr>
          <w:lang w:val="es-ES"/>
        </w:rPr>
        <w:t>Accountability</w:t>
      </w:r>
      <w:proofErr w:type="spellEnd"/>
      <w:r>
        <w:rPr>
          <w:lang w:val="es-ES"/>
        </w:rPr>
        <w:t xml:space="preserve"> </w:t>
      </w:r>
      <w:proofErr w:type="spellStart"/>
      <w:r>
        <w:rPr>
          <w:lang w:val="es-ES"/>
        </w:rPr>
        <w:t>Act</w:t>
      </w:r>
      <w:proofErr w:type="spellEnd"/>
      <w:r>
        <w:rPr>
          <w:lang w:val="es-ES"/>
        </w:rPr>
        <w:t>), por lo que debe garantizar la seguridad y privacidad de los datos clínicos.</w:t>
      </w:r>
    </w:p>
    <w:p w14:paraId="03714442" w14:textId="2606AF0C" w:rsidR="00C07745" w:rsidRDefault="00BC3AD1" w:rsidP="00011E0C">
      <w:pPr>
        <w:pStyle w:val="Prrafodelista"/>
        <w:numPr>
          <w:ilvl w:val="0"/>
          <w:numId w:val="2"/>
        </w:numPr>
        <w:rPr>
          <w:lang w:val="es-ES"/>
        </w:rPr>
      </w:pPr>
      <w:r>
        <w:rPr>
          <w:lang w:val="es-ES"/>
        </w:rPr>
        <w:t>Módulo</w:t>
      </w:r>
      <w:r w:rsidR="00C07745">
        <w:rPr>
          <w:lang w:val="es-ES"/>
        </w:rPr>
        <w:t xml:space="preserve"> de analítica avanzada: Utiliza herramientas de inteligencia de negocios para que las clínicas puedan visualizar indicadores clave como eficiencia operativa y demás.</w:t>
      </w:r>
      <w:r>
        <w:rPr>
          <w:lang w:val="es-ES"/>
        </w:rPr>
        <w:br/>
      </w:r>
    </w:p>
    <w:p w14:paraId="7A2044CD" w14:textId="0969D4FE" w:rsidR="00BC3AD1" w:rsidRPr="00BC3AD1" w:rsidRDefault="00BC3AD1" w:rsidP="00BC3AD1">
      <w:pPr>
        <w:rPr>
          <w:lang w:val="es-ES"/>
        </w:rPr>
      </w:pPr>
      <w:r>
        <w:rPr>
          <w:lang w:val="es-ES"/>
        </w:rPr>
        <w:t xml:space="preserve">Costos de mantenimiento según las categorías del </w:t>
      </w:r>
      <w:proofErr w:type="spellStart"/>
      <w:r>
        <w:rPr>
          <w:lang w:val="es-ES"/>
        </w:rPr>
        <w:t>SWEBoK</w:t>
      </w:r>
      <w:proofErr w:type="spellEnd"/>
    </w:p>
    <w:tbl>
      <w:tblPr>
        <w:tblStyle w:val="Tablaconcuadrcula"/>
        <w:tblW w:w="0" w:type="auto"/>
        <w:tblLook w:val="04A0" w:firstRow="1" w:lastRow="0" w:firstColumn="1" w:lastColumn="0" w:noHBand="0" w:noVBand="1"/>
      </w:tblPr>
      <w:tblGrid>
        <w:gridCol w:w="1330"/>
        <w:gridCol w:w="2355"/>
        <w:gridCol w:w="2790"/>
        <w:gridCol w:w="2353"/>
      </w:tblGrid>
      <w:tr w:rsidR="00BC3AD1" w14:paraId="6551F0C5" w14:textId="77777777" w:rsidTr="00230C69">
        <w:tc>
          <w:tcPr>
            <w:tcW w:w="1330" w:type="dxa"/>
          </w:tcPr>
          <w:p w14:paraId="482A4537" w14:textId="762608CA" w:rsidR="00BC3AD1" w:rsidRDefault="00685743" w:rsidP="00BC3AD1">
            <w:pPr>
              <w:rPr>
                <w:lang w:val="es-ES"/>
              </w:rPr>
            </w:pPr>
            <w:r>
              <w:rPr>
                <w:lang w:val="es-ES"/>
              </w:rPr>
              <w:t>Categoría</w:t>
            </w:r>
          </w:p>
        </w:tc>
        <w:tc>
          <w:tcPr>
            <w:tcW w:w="2355" w:type="dxa"/>
          </w:tcPr>
          <w:p w14:paraId="18AE1A70" w14:textId="33DB1C50" w:rsidR="00BC3AD1" w:rsidRDefault="00685743" w:rsidP="00BC3AD1">
            <w:pPr>
              <w:rPr>
                <w:lang w:val="es-ES"/>
              </w:rPr>
            </w:pPr>
            <w:r>
              <w:rPr>
                <w:lang w:val="es-ES"/>
              </w:rPr>
              <w:t>Descripción</w:t>
            </w:r>
          </w:p>
        </w:tc>
        <w:tc>
          <w:tcPr>
            <w:tcW w:w="2790" w:type="dxa"/>
          </w:tcPr>
          <w:p w14:paraId="6A38EACA" w14:textId="4B610CDC" w:rsidR="00BC3AD1" w:rsidRDefault="00BC3AD1" w:rsidP="00BC3AD1">
            <w:pPr>
              <w:rPr>
                <w:lang w:val="es-ES"/>
              </w:rPr>
            </w:pPr>
            <w:r>
              <w:rPr>
                <w:lang w:val="es-ES"/>
              </w:rPr>
              <w:t xml:space="preserve">Ejemplo en </w:t>
            </w:r>
            <w:proofErr w:type="spellStart"/>
            <w:r>
              <w:rPr>
                <w:lang w:val="es-ES"/>
              </w:rPr>
              <w:t>NexusCare</w:t>
            </w:r>
            <w:proofErr w:type="spellEnd"/>
          </w:p>
        </w:tc>
        <w:tc>
          <w:tcPr>
            <w:tcW w:w="2353" w:type="dxa"/>
          </w:tcPr>
          <w:p w14:paraId="249438C0" w14:textId="26220D57" w:rsidR="00BC3AD1" w:rsidRDefault="00BC3AD1" w:rsidP="00BC3AD1">
            <w:pPr>
              <w:rPr>
                <w:lang w:val="es-ES"/>
              </w:rPr>
            </w:pPr>
            <w:r>
              <w:rPr>
                <w:lang w:val="es-ES"/>
              </w:rPr>
              <w:t>Costo estimado (USD)</w:t>
            </w:r>
          </w:p>
        </w:tc>
      </w:tr>
      <w:tr w:rsidR="00BC3AD1" w14:paraId="3F594750" w14:textId="77777777" w:rsidTr="00230C69">
        <w:tc>
          <w:tcPr>
            <w:tcW w:w="1330" w:type="dxa"/>
          </w:tcPr>
          <w:p w14:paraId="138E994D" w14:textId="72D0CD50" w:rsidR="00BC3AD1" w:rsidRDefault="00BC3AD1" w:rsidP="00BC3AD1">
            <w:pPr>
              <w:rPr>
                <w:lang w:val="es-ES"/>
              </w:rPr>
            </w:pPr>
            <w:r>
              <w:rPr>
                <w:lang w:val="es-ES"/>
              </w:rPr>
              <w:t>Correctivo</w:t>
            </w:r>
          </w:p>
        </w:tc>
        <w:tc>
          <w:tcPr>
            <w:tcW w:w="2355" w:type="dxa"/>
          </w:tcPr>
          <w:p w14:paraId="609BC961" w14:textId="77274F9C" w:rsidR="00BC3AD1" w:rsidRDefault="00685743" w:rsidP="00BC3AD1">
            <w:pPr>
              <w:rPr>
                <w:lang w:val="es-ES"/>
              </w:rPr>
            </w:pPr>
            <w:r>
              <w:rPr>
                <w:lang w:val="es-ES"/>
              </w:rPr>
              <w:t>Corregir</w:t>
            </w:r>
            <w:r w:rsidR="00BC3AD1">
              <w:rPr>
                <w:lang w:val="es-ES"/>
              </w:rPr>
              <w:t xml:space="preserve"> errores detectados tras la entrega de software</w:t>
            </w:r>
          </w:p>
        </w:tc>
        <w:tc>
          <w:tcPr>
            <w:tcW w:w="2790" w:type="dxa"/>
          </w:tcPr>
          <w:p w14:paraId="53898719" w14:textId="41C1E639" w:rsidR="00BC3AD1" w:rsidRDefault="00230C69" w:rsidP="00BC3AD1">
            <w:pPr>
              <w:rPr>
                <w:lang w:val="es-ES"/>
              </w:rPr>
            </w:pPr>
            <w:r>
              <w:rPr>
                <w:lang w:val="es-ES"/>
              </w:rPr>
              <w:t xml:space="preserve">Un error detectado en el calendario de citas que impide guardar una nueva cita para ciertos usuarios en dispositivos </w:t>
            </w:r>
            <w:proofErr w:type="spellStart"/>
            <w:r>
              <w:rPr>
                <w:lang w:val="es-ES"/>
              </w:rPr>
              <w:t>moviles</w:t>
            </w:r>
            <w:proofErr w:type="spellEnd"/>
          </w:p>
        </w:tc>
        <w:tc>
          <w:tcPr>
            <w:tcW w:w="2353" w:type="dxa"/>
          </w:tcPr>
          <w:p w14:paraId="5E10A365" w14:textId="5AD071A6" w:rsidR="00BC3AD1" w:rsidRDefault="00230C69" w:rsidP="00BC3AD1">
            <w:pPr>
              <w:rPr>
                <w:lang w:val="es-ES"/>
              </w:rPr>
            </w:pPr>
            <w:r>
              <w:rPr>
                <w:lang w:val="es-ES"/>
              </w:rPr>
              <w:t>1200 – Diagnostico, corrección, pruebas y despliegue</w:t>
            </w:r>
          </w:p>
        </w:tc>
      </w:tr>
      <w:tr w:rsidR="00BC3AD1" w14:paraId="3CAD8937" w14:textId="77777777" w:rsidTr="00230C69">
        <w:tc>
          <w:tcPr>
            <w:tcW w:w="1330" w:type="dxa"/>
          </w:tcPr>
          <w:p w14:paraId="5F1197EF" w14:textId="7A33AF48" w:rsidR="00BC3AD1" w:rsidRDefault="00BC3AD1" w:rsidP="00BC3AD1">
            <w:pPr>
              <w:rPr>
                <w:lang w:val="es-ES"/>
              </w:rPr>
            </w:pPr>
            <w:r>
              <w:rPr>
                <w:lang w:val="es-ES"/>
              </w:rPr>
              <w:t>Adaptativo</w:t>
            </w:r>
          </w:p>
        </w:tc>
        <w:tc>
          <w:tcPr>
            <w:tcW w:w="2355" w:type="dxa"/>
          </w:tcPr>
          <w:p w14:paraId="40FE9DCA" w14:textId="4F49AA22" w:rsidR="00BC3AD1" w:rsidRDefault="00BC3AD1" w:rsidP="00BC3AD1">
            <w:pPr>
              <w:rPr>
                <w:lang w:val="es-ES"/>
              </w:rPr>
            </w:pPr>
            <w:r>
              <w:rPr>
                <w:lang w:val="es-ES"/>
              </w:rPr>
              <w:t>Actualizar el software para que funcione con los cambios en el entorno operativo o regulatorio</w:t>
            </w:r>
          </w:p>
        </w:tc>
        <w:tc>
          <w:tcPr>
            <w:tcW w:w="2790" w:type="dxa"/>
          </w:tcPr>
          <w:p w14:paraId="02F832CA" w14:textId="62E73B3C" w:rsidR="00BC3AD1" w:rsidRDefault="00230C69" w:rsidP="00BC3AD1">
            <w:pPr>
              <w:rPr>
                <w:lang w:val="es-ES"/>
              </w:rPr>
            </w:pPr>
            <w:r>
              <w:rPr>
                <w:lang w:val="es-ES"/>
              </w:rPr>
              <w:t xml:space="preserve">Cambios en la ley de protección de datos en un país donde opera la plataforma que requiere modificaciones en la </w:t>
            </w:r>
            <w:proofErr w:type="spellStart"/>
            <w:r>
              <w:rPr>
                <w:lang w:val="es-ES"/>
              </w:rPr>
              <w:t>gestions</w:t>
            </w:r>
            <w:proofErr w:type="spellEnd"/>
            <w:r>
              <w:rPr>
                <w:lang w:val="es-ES"/>
              </w:rPr>
              <w:t xml:space="preserve"> de permisos</w:t>
            </w:r>
          </w:p>
        </w:tc>
        <w:tc>
          <w:tcPr>
            <w:tcW w:w="2353" w:type="dxa"/>
          </w:tcPr>
          <w:p w14:paraId="06C13226" w14:textId="173DF39B" w:rsidR="00BC3AD1" w:rsidRDefault="00230C69" w:rsidP="00BC3AD1">
            <w:pPr>
              <w:rPr>
                <w:lang w:val="es-ES"/>
              </w:rPr>
            </w:pPr>
            <w:r>
              <w:rPr>
                <w:lang w:val="es-ES"/>
              </w:rPr>
              <w:t>2800 – Análisis legal, rediseño de formularios, ajustes de bases de datos, pruebas legales.</w:t>
            </w:r>
          </w:p>
        </w:tc>
      </w:tr>
      <w:tr w:rsidR="00BC3AD1" w14:paraId="62A8DC86" w14:textId="77777777" w:rsidTr="00230C69">
        <w:tc>
          <w:tcPr>
            <w:tcW w:w="1330" w:type="dxa"/>
          </w:tcPr>
          <w:p w14:paraId="6875D04C" w14:textId="6CF15F78" w:rsidR="00BC3AD1" w:rsidRDefault="00BC3AD1" w:rsidP="00BC3AD1">
            <w:pPr>
              <w:rPr>
                <w:lang w:val="es-ES"/>
              </w:rPr>
            </w:pPr>
            <w:r>
              <w:rPr>
                <w:lang w:val="es-ES"/>
              </w:rPr>
              <w:t>Perfectivo</w:t>
            </w:r>
          </w:p>
        </w:tc>
        <w:tc>
          <w:tcPr>
            <w:tcW w:w="2355" w:type="dxa"/>
          </w:tcPr>
          <w:p w14:paraId="0AC4CF8D" w14:textId="0944B1C4" w:rsidR="00BC3AD1" w:rsidRDefault="00BC3AD1" w:rsidP="00BC3AD1">
            <w:pPr>
              <w:rPr>
                <w:lang w:val="es-ES"/>
              </w:rPr>
            </w:pPr>
            <w:r>
              <w:rPr>
                <w:lang w:val="es-ES"/>
              </w:rPr>
              <w:t>Mejoras solicitadas por los usuarios o detectadas por el equipo para incrementar la eficiencia o usabilidad</w:t>
            </w:r>
          </w:p>
        </w:tc>
        <w:tc>
          <w:tcPr>
            <w:tcW w:w="2790" w:type="dxa"/>
          </w:tcPr>
          <w:p w14:paraId="3B5B02D4" w14:textId="3673350D" w:rsidR="00BC3AD1" w:rsidRDefault="00230C69" w:rsidP="00BC3AD1">
            <w:pPr>
              <w:rPr>
                <w:lang w:val="es-ES"/>
              </w:rPr>
            </w:pPr>
            <w:r>
              <w:rPr>
                <w:lang w:val="es-ES"/>
              </w:rPr>
              <w:t xml:space="preserve">Rediseño del </w:t>
            </w:r>
            <w:r w:rsidR="00685743">
              <w:rPr>
                <w:lang w:val="es-ES"/>
              </w:rPr>
              <w:t>módulo</w:t>
            </w:r>
            <w:r>
              <w:rPr>
                <w:lang w:val="es-ES"/>
              </w:rPr>
              <w:t xml:space="preserve"> de historial clínico para una navegación más intuitiva</w:t>
            </w:r>
          </w:p>
        </w:tc>
        <w:tc>
          <w:tcPr>
            <w:tcW w:w="2353" w:type="dxa"/>
          </w:tcPr>
          <w:p w14:paraId="2D88581B" w14:textId="71537204" w:rsidR="00BC3AD1" w:rsidRDefault="00230C69" w:rsidP="00BC3AD1">
            <w:pPr>
              <w:rPr>
                <w:lang w:val="es-ES"/>
              </w:rPr>
            </w:pPr>
            <w:r>
              <w:rPr>
                <w:lang w:val="es-ES"/>
              </w:rPr>
              <w:t xml:space="preserve">2500 – Entrevistas con usuarios, rediseño UI/UX programación y </w:t>
            </w:r>
            <w:proofErr w:type="spellStart"/>
            <w:r>
              <w:rPr>
                <w:lang w:val="es-ES"/>
              </w:rPr>
              <w:t>validacion</w:t>
            </w:r>
            <w:proofErr w:type="spellEnd"/>
          </w:p>
        </w:tc>
      </w:tr>
      <w:tr w:rsidR="00BC3AD1" w14:paraId="48BF9C76" w14:textId="77777777" w:rsidTr="00230C69">
        <w:tc>
          <w:tcPr>
            <w:tcW w:w="1330" w:type="dxa"/>
          </w:tcPr>
          <w:p w14:paraId="0320DCEC" w14:textId="5FF324FD" w:rsidR="00BC3AD1" w:rsidRDefault="00BC3AD1" w:rsidP="00BC3AD1">
            <w:pPr>
              <w:rPr>
                <w:lang w:val="es-ES"/>
              </w:rPr>
            </w:pPr>
            <w:r>
              <w:rPr>
                <w:lang w:val="es-ES"/>
              </w:rPr>
              <w:lastRenderedPageBreak/>
              <w:t>Preventivo</w:t>
            </w:r>
          </w:p>
        </w:tc>
        <w:tc>
          <w:tcPr>
            <w:tcW w:w="2355" w:type="dxa"/>
          </w:tcPr>
          <w:p w14:paraId="1EC7EDDA" w14:textId="6EA94342" w:rsidR="00BC3AD1" w:rsidRDefault="00BC3AD1" w:rsidP="00BC3AD1">
            <w:pPr>
              <w:rPr>
                <w:lang w:val="es-ES"/>
              </w:rPr>
            </w:pPr>
            <w:r>
              <w:rPr>
                <w:lang w:val="es-ES"/>
              </w:rPr>
              <w:t>Acciones para reducir la probabilidad de errores futuros y mejorar la mantenibilidad del sistema</w:t>
            </w:r>
          </w:p>
        </w:tc>
        <w:tc>
          <w:tcPr>
            <w:tcW w:w="2790" w:type="dxa"/>
          </w:tcPr>
          <w:p w14:paraId="76FC8CCD" w14:textId="6206492F" w:rsidR="00BC3AD1" w:rsidRDefault="00685743" w:rsidP="00BC3AD1">
            <w:pPr>
              <w:rPr>
                <w:lang w:val="es-ES"/>
              </w:rPr>
            </w:pPr>
            <w:r>
              <w:rPr>
                <w:lang w:val="es-ES"/>
              </w:rPr>
              <w:t>Refactorización</w:t>
            </w:r>
            <w:r w:rsidR="00230C69">
              <w:rPr>
                <w:lang w:val="es-ES"/>
              </w:rPr>
              <w:t xml:space="preserve"> de código en el modulo de pagos, documentando mejor las funciones separando responsabilidades en componentes más pequeños.</w:t>
            </w:r>
          </w:p>
        </w:tc>
        <w:tc>
          <w:tcPr>
            <w:tcW w:w="2353" w:type="dxa"/>
          </w:tcPr>
          <w:p w14:paraId="51B285B0" w14:textId="01B51E0D" w:rsidR="00BC3AD1" w:rsidRDefault="00230C69" w:rsidP="00BC3AD1">
            <w:pPr>
              <w:rPr>
                <w:lang w:val="es-ES"/>
              </w:rPr>
            </w:pPr>
            <w:r>
              <w:rPr>
                <w:lang w:val="es-ES"/>
              </w:rPr>
              <w:t>1600 - Análisis de deuda técnica, refactorización, pruebas de regresión, documentación actualizada</w:t>
            </w:r>
          </w:p>
        </w:tc>
      </w:tr>
    </w:tbl>
    <w:p w14:paraId="496B637C" w14:textId="1DE52099" w:rsidR="00BC3AD1" w:rsidRPr="00BC3AD1" w:rsidRDefault="00BC3AD1" w:rsidP="00BC3AD1">
      <w:pPr>
        <w:rPr>
          <w:lang w:val="es-ES"/>
        </w:rPr>
      </w:pPr>
    </w:p>
    <w:sectPr w:rsidR="00BC3AD1" w:rsidRPr="00BC3AD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66B80"/>
    <w:multiLevelType w:val="hybridMultilevel"/>
    <w:tmpl w:val="97CE2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4F7557"/>
    <w:multiLevelType w:val="hybridMultilevel"/>
    <w:tmpl w:val="AE02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8750798">
    <w:abstractNumId w:val="1"/>
  </w:num>
  <w:num w:numId="2" w16cid:durableId="397439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FD1"/>
    <w:rsid w:val="00011E0C"/>
    <w:rsid w:val="001367E1"/>
    <w:rsid w:val="00230C69"/>
    <w:rsid w:val="003825B5"/>
    <w:rsid w:val="00386102"/>
    <w:rsid w:val="00685743"/>
    <w:rsid w:val="00790FD1"/>
    <w:rsid w:val="00A7136C"/>
    <w:rsid w:val="00B00222"/>
    <w:rsid w:val="00BC3AD1"/>
    <w:rsid w:val="00C07745"/>
    <w:rsid w:val="00CD3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E3A50"/>
  <w15:chartTrackingRefBased/>
  <w15:docId w15:val="{CD3783DD-143D-4C6B-B501-45D9BC578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0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0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0F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0F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0F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0F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0F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0F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0F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0F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0F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0F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0F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0F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0F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0F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0F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0FD1"/>
    <w:rPr>
      <w:rFonts w:eastAsiaTheme="majorEastAsia" w:cstheme="majorBidi"/>
      <w:color w:val="272727" w:themeColor="text1" w:themeTint="D8"/>
    </w:rPr>
  </w:style>
  <w:style w:type="paragraph" w:styleId="Ttulo">
    <w:name w:val="Title"/>
    <w:basedOn w:val="Normal"/>
    <w:next w:val="Normal"/>
    <w:link w:val="TtuloCar"/>
    <w:uiPriority w:val="10"/>
    <w:qFormat/>
    <w:rsid w:val="00790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0F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0F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0F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0FD1"/>
    <w:pPr>
      <w:spacing w:before="160"/>
      <w:jc w:val="center"/>
    </w:pPr>
    <w:rPr>
      <w:i/>
      <w:iCs/>
      <w:color w:val="404040" w:themeColor="text1" w:themeTint="BF"/>
    </w:rPr>
  </w:style>
  <w:style w:type="character" w:customStyle="1" w:styleId="CitaCar">
    <w:name w:val="Cita Car"/>
    <w:basedOn w:val="Fuentedeprrafopredeter"/>
    <w:link w:val="Cita"/>
    <w:uiPriority w:val="29"/>
    <w:rsid w:val="00790FD1"/>
    <w:rPr>
      <w:i/>
      <w:iCs/>
      <w:color w:val="404040" w:themeColor="text1" w:themeTint="BF"/>
    </w:rPr>
  </w:style>
  <w:style w:type="paragraph" w:styleId="Prrafodelista">
    <w:name w:val="List Paragraph"/>
    <w:basedOn w:val="Normal"/>
    <w:uiPriority w:val="34"/>
    <w:qFormat/>
    <w:rsid w:val="00790FD1"/>
    <w:pPr>
      <w:ind w:left="720"/>
      <w:contextualSpacing/>
    </w:pPr>
  </w:style>
  <w:style w:type="character" w:styleId="nfasisintenso">
    <w:name w:val="Intense Emphasis"/>
    <w:basedOn w:val="Fuentedeprrafopredeter"/>
    <w:uiPriority w:val="21"/>
    <w:qFormat/>
    <w:rsid w:val="00790FD1"/>
    <w:rPr>
      <w:i/>
      <w:iCs/>
      <w:color w:val="0F4761" w:themeColor="accent1" w:themeShade="BF"/>
    </w:rPr>
  </w:style>
  <w:style w:type="paragraph" w:styleId="Citadestacada">
    <w:name w:val="Intense Quote"/>
    <w:basedOn w:val="Normal"/>
    <w:next w:val="Normal"/>
    <w:link w:val="CitadestacadaCar"/>
    <w:uiPriority w:val="30"/>
    <w:qFormat/>
    <w:rsid w:val="00790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0FD1"/>
    <w:rPr>
      <w:i/>
      <w:iCs/>
      <w:color w:val="0F4761" w:themeColor="accent1" w:themeShade="BF"/>
    </w:rPr>
  </w:style>
  <w:style w:type="character" w:styleId="Referenciaintensa">
    <w:name w:val="Intense Reference"/>
    <w:basedOn w:val="Fuentedeprrafopredeter"/>
    <w:uiPriority w:val="32"/>
    <w:qFormat/>
    <w:rsid w:val="00790FD1"/>
    <w:rPr>
      <w:b/>
      <w:bCs/>
      <w:smallCaps/>
      <w:color w:val="0F4761" w:themeColor="accent1" w:themeShade="BF"/>
      <w:spacing w:val="5"/>
    </w:rPr>
  </w:style>
  <w:style w:type="table" w:styleId="Tablaconcuadrcula">
    <w:name w:val="Table Grid"/>
    <w:basedOn w:val="Tablanormal"/>
    <w:uiPriority w:val="39"/>
    <w:rsid w:val="00CD3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CD38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5">
    <w:name w:val="Plain Table 5"/>
    <w:basedOn w:val="Tablanormal"/>
    <w:uiPriority w:val="45"/>
    <w:rsid w:val="00CD38B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CD38B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4">
    <w:name w:val="Plain Table 4"/>
    <w:basedOn w:val="Tablanormal"/>
    <w:uiPriority w:val="44"/>
    <w:rsid w:val="00CD38B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CD38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nfasis3">
    <w:name w:val="Grid Table 1 Light Accent 3"/>
    <w:basedOn w:val="Tablanormal"/>
    <w:uiPriority w:val="46"/>
    <w:rsid w:val="00CD38BE"/>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B002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5</Pages>
  <Words>1060</Words>
  <Characters>6048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Lozano</dc:creator>
  <cp:keywords/>
  <dc:description/>
  <cp:lastModifiedBy>Juan David Lozano</cp:lastModifiedBy>
  <cp:revision>1</cp:revision>
  <dcterms:created xsi:type="dcterms:W3CDTF">2025-04-24T17:42:00Z</dcterms:created>
  <dcterms:modified xsi:type="dcterms:W3CDTF">2025-04-24T21:50:00Z</dcterms:modified>
</cp:coreProperties>
</file>