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DB35" w14:textId="02FB6679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F31363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Actividad </w:t>
      </w:r>
      <w:r w:rsidR="002D0E41">
        <w:rPr>
          <w:rFonts w:ascii="Times New Roman" w:hAnsi="Times New Roman" w:cs="Times New Roman"/>
          <w:b/>
          <w:bCs/>
          <w:sz w:val="28"/>
          <w:szCs w:val="28"/>
          <w:lang w:val="es-ES"/>
        </w:rPr>
        <w:t>3</w:t>
      </w:r>
      <w:r w:rsidRPr="00F31363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- </w:t>
      </w:r>
      <w:r w:rsidR="002D0E41" w:rsidRPr="002D0E41">
        <w:rPr>
          <w:rFonts w:ascii="Times New Roman" w:hAnsi="Times New Roman" w:cs="Times New Roman"/>
          <w:b/>
          <w:bCs/>
          <w:sz w:val="28"/>
          <w:szCs w:val="28"/>
          <w:lang w:val="es-ES"/>
        </w:rPr>
        <w:t>Aplicando los códigos de ética de la ingeniería en Colombia</w:t>
      </w:r>
    </w:p>
    <w:p w14:paraId="2D4A61D0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9972F13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57F59C74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48002F5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3DFE2B4C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5ACFE896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F31363">
        <w:rPr>
          <w:rFonts w:ascii="Times New Roman" w:hAnsi="Times New Roman" w:cs="Times New Roman"/>
          <w:sz w:val="28"/>
          <w:szCs w:val="28"/>
          <w:lang w:val="es-ES"/>
        </w:rPr>
        <w:t>Juan David Lozano Serna</w:t>
      </w:r>
    </w:p>
    <w:p w14:paraId="751AA47F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A258C75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D8A22C5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764B73C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5DD64034" w14:textId="55BE6383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F31363">
        <w:rPr>
          <w:rFonts w:ascii="Times New Roman" w:hAnsi="Times New Roman" w:cs="Times New Roman"/>
          <w:b/>
          <w:bCs/>
          <w:sz w:val="28"/>
          <w:szCs w:val="28"/>
          <w:lang w:val="es-ES"/>
        </w:rPr>
        <w:t>Docente:</w:t>
      </w:r>
      <w:r w:rsidRPr="00F3136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2D0E41">
        <w:rPr>
          <w:rFonts w:ascii="Times New Roman" w:hAnsi="Times New Roman" w:cs="Times New Roman"/>
          <w:sz w:val="28"/>
          <w:szCs w:val="28"/>
          <w:lang w:val="es-ES"/>
        </w:rPr>
        <w:t>Camila Moreno</w:t>
      </w:r>
    </w:p>
    <w:p w14:paraId="7F69E8B3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D1104C1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30F01EFB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6E145E0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B4248D1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8F03460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215EE11" w14:textId="77777777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E5AB594" w14:textId="0679BABE" w:rsidR="00F31363" w:rsidRPr="00F31363" w:rsidRDefault="00F31363" w:rsidP="00F31363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F31363">
        <w:rPr>
          <w:rFonts w:ascii="Times New Roman" w:hAnsi="Times New Roman" w:cs="Times New Roman"/>
          <w:sz w:val="28"/>
          <w:szCs w:val="28"/>
          <w:lang w:val="es-ES"/>
        </w:rPr>
        <w:t>Universidad Iberoamericana</w:t>
      </w:r>
      <w:r w:rsidRPr="00F31363">
        <w:rPr>
          <w:rFonts w:ascii="Times New Roman" w:hAnsi="Times New Roman" w:cs="Times New Roman"/>
          <w:sz w:val="28"/>
          <w:szCs w:val="28"/>
          <w:lang w:val="es-ES"/>
        </w:rPr>
        <w:br/>
        <w:t>Calidad de software</w:t>
      </w:r>
      <w:r w:rsidRPr="00F31363">
        <w:rPr>
          <w:rFonts w:ascii="Times New Roman" w:hAnsi="Times New Roman" w:cs="Times New Roman"/>
          <w:sz w:val="28"/>
          <w:szCs w:val="28"/>
          <w:lang w:val="es-ES"/>
        </w:rPr>
        <w:br/>
        <w:t>202</w:t>
      </w:r>
      <w:r w:rsidR="002D0E41">
        <w:rPr>
          <w:rFonts w:ascii="Times New Roman" w:hAnsi="Times New Roman" w:cs="Times New Roman"/>
          <w:sz w:val="28"/>
          <w:szCs w:val="28"/>
          <w:lang w:val="es-ES"/>
        </w:rPr>
        <w:t>5</w:t>
      </w:r>
    </w:p>
    <w:p w14:paraId="40967117" w14:textId="77777777" w:rsidR="00F31363" w:rsidRDefault="00F31363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br/>
      </w:r>
      <w:r>
        <w:rPr>
          <w:rFonts w:ascii="Times New Roman" w:hAnsi="Times New Roman" w:cs="Times New Roman"/>
          <w:lang w:val="es-ES"/>
        </w:rPr>
        <w:br/>
      </w:r>
    </w:p>
    <w:p w14:paraId="5AADA02B" w14:textId="0B01012A" w:rsidR="00136782" w:rsidRPr="00F31363" w:rsidRDefault="00136782">
      <w:pPr>
        <w:rPr>
          <w:rFonts w:ascii="Times New Roman" w:hAnsi="Times New Roman" w:cs="Times New Roman"/>
          <w:lang w:val="es-ES"/>
        </w:rPr>
      </w:pPr>
      <w:r w:rsidRPr="00F31363">
        <w:rPr>
          <w:rFonts w:ascii="Times New Roman" w:hAnsi="Times New Roman" w:cs="Times New Roman"/>
          <w:lang w:val="es-CO"/>
        </w:rPr>
        <w:lastRenderedPageBreak/>
        <w:t>En abril de 2024, la fiscalía general de la nación acuso a un ingeniero de la Agencia Nacional de Infraestructura (ANI) por presuntas irregularidades en el proyecto del corredor vial Villavicencio – Yopal. En la investigación se evidencio que el ingeniero encargado de supervisar y validad la interventoría técnica, habría manipulado reportes y omitió información crucial sobre incumplimientos del contratista, con el fin de beneficiar a la continuidad del contrato y permitir sobrecostos injustificados.</w:t>
      </w:r>
      <w:r w:rsidRPr="00F31363">
        <w:rPr>
          <w:rFonts w:ascii="Times New Roman" w:hAnsi="Times New Roman" w:cs="Times New Roman"/>
          <w:lang w:val="es-CO"/>
        </w:rPr>
        <w:br/>
      </w:r>
      <w:r w:rsidRPr="00F31363">
        <w:rPr>
          <w:rFonts w:ascii="Times New Roman" w:hAnsi="Times New Roman" w:cs="Times New Roman"/>
          <w:lang w:val="es-CO"/>
        </w:rPr>
        <w:br/>
        <w:t>Entre esas irregularidades se encontró: alteración de informes, aprobación de materiales que no cumplían especificaciones técnicas y certificación de actividades incompletas. Esto lo que ocasiono fueron retrasos, riesgos estructurales y un impacto económico negativo para el Estado.</w:t>
      </w:r>
      <w:r w:rsidRPr="00F31363">
        <w:rPr>
          <w:rFonts w:ascii="Times New Roman" w:hAnsi="Times New Roman" w:cs="Times New Roman"/>
          <w:lang w:val="es-CO"/>
        </w:rPr>
        <w:br/>
      </w:r>
      <w:r w:rsidRPr="00F31363">
        <w:rPr>
          <w:rFonts w:ascii="Times New Roman" w:hAnsi="Times New Roman" w:cs="Times New Roman"/>
          <w:lang w:val="es-CO"/>
        </w:rPr>
        <w:br/>
        <w:t>El caso represento una violación directa al comportamiento ético que debe regir el ejercicio de la ingeniería especialmente cuando involucra obras publicas que afectan la movilidad y seguridad de los ciudadanos.</w:t>
      </w:r>
      <w:r w:rsidRPr="00F31363">
        <w:rPr>
          <w:rFonts w:ascii="Times New Roman" w:hAnsi="Times New Roman" w:cs="Times New Roman"/>
          <w:lang w:val="es-CO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136782" w:rsidRPr="00F31363" w14:paraId="316E4CEC" w14:textId="77777777" w:rsidTr="00136782">
        <w:tc>
          <w:tcPr>
            <w:tcW w:w="1765" w:type="dxa"/>
          </w:tcPr>
          <w:p w14:paraId="346687E2" w14:textId="54BC3C97" w:rsidR="00136782" w:rsidRPr="00F31363" w:rsidRDefault="00136782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F31363">
              <w:rPr>
                <w:rFonts w:ascii="Times New Roman" w:hAnsi="Times New Roman" w:cs="Times New Roman"/>
                <w:b/>
                <w:bCs/>
                <w:lang w:val="es-CO"/>
              </w:rPr>
              <w:t>Código de Ética</w:t>
            </w:r>
          </w:p>
        </w:tc>
        <w:tc>
          <w:tcPr>
            <w:tcW w:w="1765" w:type="dxa"/>
          </w:tcPr>
          <w:p w14:paraId="5C77C5B6" w14:textId="2E7D5D21" w:rsidR="00136782" w:rsidRPr="00F31363" w:rsidRDefault="00136782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F31363">
              <w:rPr>
                <w:rFonts w:ascii="Times New Roman" w:hAnsi="Times New Roman" w:cs="Times New Roman"/>
                <w:b/>
                <w:bCs/>
                <w:lang w:val="es-CO"/>
              </w:rPr>
              <w:t>Articulo infringido</w:t>
            </w:r>
          </w:p>
        </w:tc>
        <w:tc>
          <w:tcPr>
            <w:tcW w:w="1766" w:type="dxa"/>
          </w:tcPr>
          <w:p w14:paraId="79E8C46F" w14:textId="008E3D35" w:rsidR="00136782" w:rsidRPr="00F31363" w:rsidRDefault="00136782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F31363">
              <w:rPr>
                <w:rFonts w:ascii="Times New Roman" w:hAnsi="Times New Roman" w:cs="Times New Roman"/>
                <w:b/>
                <w:bCs/>
                <w:lang w:val="es-CO"/>
              </w:rPr>
              <w:t>Descripción de la falta</w:t>
            </w:r>
          </w:p>
        </w:tc>
        <w:tc>
          <w:tcPr>
            <w:tcW w:w="1766" w:type="dxa"/>
          </w:tcPr>
          <w:p w14:paraId="71C4D70C" w14:textId="01C58B9D" w:rsidR="00136782" w:rsidRPr="00F31363" w:rsidRDefault="00136782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F31363">
              <w:rPr>
                <w:rFonts w:ascii="Times New Roman" w:hAnsi="Times New Roman" w:cs="Times New Roman"/>
                <w:b/>
                <w:bCs/>
                <w:lang w:val="es-CO"/>
              </w:rPr>
              <w:t>Gravedad</w:t>
            </w:r>
          </w:p>
        </w:tc>
        <w:tc>
          <w:tcPr>
            <w:tcW w:w="1766" w:type="dxa"/>
          </w:tcPr>
          <w:p w14:paraId="277AE9F6" w14:textId="4210AC68" w:rsidR="00136782" w:rsidRPr="00F31363" w:rsidRDefault="00136782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F31363">
              <w:rPr>
                <w:rFonts w:ascii="Times New Roman" w:hAnsi="Times New Roman" w:cs="Times New Roman"/>
                <w:b/>
                <w:bCs/>
                <w:lang w:val="es-CO"/>
              </w:rPr>
              <w:t>Posible sanción (Ley 842/2003)</w:t>
            </w:r>
          </w:p>
        </w:tc>
      </w:tr>
      <w:tr w:rsidR="00136782" w:rsidRPr="00F31363" w14:paraId="3CD14A1E" w14:textId="77777777" w:rsidTr="00136782">
        <w:tc>
          <w:tcPr>
            <w:tcW w:w="1765" w:type="dxa"/>
          </w:tcPr>
          <w:p w14:paraId="6F89C94E" w14:textId="545029C1" w:rsidR="00136782" w:rsidRPr="00F31363" w:rsidRDefault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Ley 842 de 2003 – Art 30</w:t>
            </w:r>
          </w:p>
        </w:tc>
        <w:tc>
          <w:tcPr>
            <w:tcW w:w="1765" w:type="dxa"/>
          </w:tcPr>
          <w:p w14:paraId="13FCB1CB" w14:textId="34273F97" w:rsidR="00136782" w:rsidRPr="00F31363" w:rsidRDefault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Numeral 1</w:t>
            </w:r>
          </w:p>
        </w:tc>
        <w:tc>
          <w:tcPr>
            <w:tcW w:w="1766" w:type="dxa"/>
          </w:tcPr>
          <w:p w14:paraId="603D8758" w14:textId="7444B098" w:rsidR="00136782" w:rsidRPr="00F31363" w:rsidRDefault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Actuar con deshonestidad en el ejercicio profesional</w:t>
            </w:r>
          </w:p>
        </w:tc>
        <w:tc>
          <w:tcPr>
            <w:tcW w:w="1766" w:type="dxa"/>
          </w:tcPr>
          <w:p w14:paraId="337E2990" w14:textId="498FA4D7" w:rsidR="00136782" w:rsidRPr="00F31363" w:rsidRDefault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Grave</w:t>
            </w:r>
          </w:p>
        </w:tc>
        <w:tc>
          <w:tcPr>
            <w:tcW w:w="1766" w:type="dxa"/>
          </w:tcPr>
          <w:p w14:paraId="0A0D570D" w14:textId="01346DBC" w:rsidR="00136782" w:rsidRPr="00F31363" w:rsidRDefault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Suspensión de la matricula profesional entre 1 y 5 años</w:t>
            </w:r>
          </w:p>
        </w:tc>
      </w:tr>
      <w:tr w:rsidR="00136782" w:rsidRPr="00F31363" w14:paraId="49A6927F" w14:textId="77777777" w:rsidTr="00136782">
        <w:tc>
          <w:tcPr>
            <w:tcW w:w="1765" w:type="dxa"/>
          </w:tcPr>
          <w:p w14:paraId="441523CF" w14:textId="42F0C8BC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Ley 842 de 2003 – Art 30</w:t>
            </w: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1765" w:type="dxa"/>
          </w:tcPr>
          <w:p w14:paraId="7A0B9DE7" w14:textId="2604F772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Numeral </w:t>
            </w: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4</w:t>
            </w:r>
          </w:p>
        </w:tc>
        <w:tc>
          <w:tcPr>
            <w:tcW w:w="1766" w:type="dxa"/>
          </w:tcPr>
          <w:p w14:paraId="2AB5A1BA" w14:textId="11E636B1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Alterar, manipular o falsificar informes o documentos técnicos</w:t>
            </w:r>
          </w:p>
        </w:tc>
        <w:tc>
          <w:tcPr>
            <w:tcW w:w="1766" w:type="dxa"/>
          </w:tcPr>
          <w:p w14:paraId="150A2B53" w14:textId="02CEA078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Gravísima</w:t>
            </w:r>
          </w:p>
        </w:tc>
        <w:tc>
          <w:tcPr>
            <w:tcW w:w="1766" w:type="dxa"/>
          </w:tcPr>
          <w:p w14:paraId="422CBEF5" w14:textId="2553C2A7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Cancelación temporal o definitiva de la matricula profesional</w:t>
            </w:r>
          </w:p>
        </w:tc>
      </w:tr>
      <w:tr w:rsidR="00136782" w:rsidRPr="00F31363" w14:paraId="2FB88E2A" w14:textId="77777777" w:rsidTr="00136782">
        <w:tc>
          <w:tcPr>
            <w:tcW w:w="1765" w:type="dxa"/>
          </w:tcPr>
          <w:p w14:paraId="164EF5A5" w14:textId="2260A4A2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Ley 842 de 2003 – Art 30</w:t>
            </w:r>
          </w:p>
        </w:tc>
        <w:tc>
          <w:tcPr>
            <w:tcW w:w="1765" w:type="dxa"/>
          </w:tcPr>
          <w:p w14:paraId="6E3276CE" w14:textId="336694A6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Numeral </w:t>
            </w: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6</w:t>
            </w:r>
          </w:p>
        </w:tc>
        <w:tc>
          <w:tcPr>
            <w:tcW w:w="1766" w:type="dxa"/>
          </w:tcPr>
          <w:p w14:paraId="2104C210" w14:textId="1112C4D4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Aceptar beneficios o intereses particulares en detrimento del bien publico</w:t>
            </w:r>
          </w:p>
        </w:tc>
        <w:tc>
          <w:tcPr>
            <w:tcW w:w="1766" w:type="dxa"/>
          </w:tcPr>
          <w:p w14:paraId="4E9591CA" w14:textId="1F2238C1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Grave</w:t>
            </w:r>
          </w:p>
        </w:tc>
        <w:tc>
          <w:tcPr>
            <w:tcW w:w="1766" w:type="dxa"/>
          </w:tcPr>
          <w:p w14:paraId="5B06D224" w14:textId="774B9F7C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Suspensión de la matricula profesional</w:t>
            </w:r>
          </w:p>
        </w:tc>
      </w:tr>
      <w:tr w:rsidR="00136782" w:rsidRPr="00F31363" w14:paraId="2E67B5CA" w14:textId="77777777" w:rsidTr="00136782">
        <w:tc>
          <w:tcPr>
            <w:tcW w:w="1765" w:type="dxa"/>
          </w:tcPr>
          <w:p w14:paraId="5632A7FD" w14:textId="721B629A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Ley 842 de 2003 – Art </w:t>
            </w: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27</w:t>
            </w:r>
          </w:p>
        </w:tc>
        <w:tc>
          <w:tcPr>
            <w:tcW w:w="1765" w:type="dxa"/>
          </w:tcPr>
          <w:p w14:paraId="706380BB" w14:textId="12EF319A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Numeral </w:t>
            </w: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3</w:t>
            </w:r>
          </w:p>
        </w:tc>
        <w:tc>
          <w:tcPr>
            <w:tcW w:w="1766" w:type="dxa"/>
          </w:tcPr>
          <w:p w14:paraId="344E6E62" w14:textId="443204F0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Incumplir con el deber de proteger la seguridad y bienestar de la comunidad</w:t>
            </w:r>
          </w:p>
        </w:tc>
        <w:tc>
          <w:tcPr>
            <w:tcW w:w="1766" w:type="dxa"/>
          </w:tcPr>
          <w:p w14:paraId="3FED8788" w14:textId="5AA987EB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Grave</w:t>
            </w:r>
          </w:p>
        </w:tc>
        <w:tc>
          <w:tcPr>
            <w:tcW w:w="1766" w:type="dxa"/>
          </w:tcPr>
          <w:p w14:paraId="167555C2" w14:textId="7029903D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Amonestación escrita y suspensión</w:t>
            </w:r>
          </w:p>
        </w:tc>
      </w:tr>
      <w:tr w:rsidR="00136782" w:rsidRPr="00F31363" w14:paraId="4A6934A8" w14:textId="77777777" w:rsidTr="00136782">
        <w:tc>
          <w:tcPr>
            <w:tcW w:w="1765" w:type="dxa"/>
          </w:tcPr>
          <w:p w14:paraId="5BB5D6B4" w14:textId="739013F1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Ley 842 de 2003 – Art </w:t>
            </w: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28</w:t>
            </w:r>
          </w:p>
        </w:tc>
        <w:tc>
          <w:tcPr>
            <w:tcW w:w="1765" w:type="dxa"/>
          </w:tcPr>
          <w:p w14:paraId="69FAACCD" w14:textId="241F3F97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Numeral 1</w:t>
            </w:r>
          </w:p>
        </w:tc>
        <w:tc>
          <w:tcPr>
            <w:tcW w:w="1766" w:type="dxa"/>
          </w:tcPr>
          <w:p w14:paraId="50C42683" w14:textId="18847EB5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Violación del deber de objetividad e independencia profesional</w:t>
            </w:r>
          </w:p>
        </w:tc>
        <w:tc>
          <w:tcPr>
            <w:tcW w:w="1766" w:type="dxa"/>
          </w:tcPr>
          <w:p w14:paraId="10065AF7" w14:textId="6DC16F91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Grave</w:t>
            </w:r>
          </w:p>
        </w:tc>
        <w:tc>
          <w:tcPr>
            <w:tcW w:w="1766" w:type="dxa"/>
          </w:tcPr>
          <w:p w14:paraId="5EDC745E" w14:textId="795E8AE4" w:rsidR="00136782" w:rsidRPr="00F31363" w:rsidRDefault="00136782" w:rsidP="00136782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F31363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Suspensión</w:t>
            </w:r>
          </w:p>
        </w:tc>
      </w:tr>
    </w:tbl>
    <w:p w14:paraId="4B6A88CB" w14:textId="01EF1267" w:rsidR="00136782" w:rsidRPr="00F31363" w:rsidRDefault="00F31363">
      <w:pPr>
        <w:rPr>
          <w:rFonts w:ascii="Times New Roman" w:hAnsi="Times New Roman" w:cs="Times New Roman"/>
          <w:b/>
          <w:bCs/>
          <w:lang w:val="es-CO"/>
        </w:rPr>
      </w:pPr>
      <w:r w:rsidRPr="00F31363">
        <w:rPr>
          <w:rFonts w:ascii="Times New Roman" w:hAnsi="Times New Roman" w:cs="Times New Roman"/>
          <w:b/>
          <w:bCs/>
          <w:lang w:val="es-CO"/>
        </w:rPr>
        <w:br/>
      </w:r>
      <w:r>
        <w:rPr>
          <w:rFonts w:ascii="Times New Roman" w:hAnsi="Times New Roman" w:cs="Times New Roman"/>
          <w:b/>
          <w:bCs/>
          <w:lang w:val="es-CO"/>
        </w:rPr>
        <w:br/>
      </w:r>
      <w:r>
        <w:rPr>
          <w:rFonts w:ascii="Times New Roman" w:hAnsi="Times New Roman" w:cs="Times New Roman"/>
          <w:b/>
          <w:bCs/>
          <w:lang w:val="es-CO"/>
        </w:rPr>
        <w:br/>
      </w:r>
      <w:r w:rsidRPr="00F31363">
        <w:rPr>
          <w:rFonts w:ascii="Times New Roman" w:hAnsi="Times New Roman" w:cs="Times New Roman"/>
          <w:b/>
          <w:bCs/>
          <w:lang w:val="es-CO"/>
        </w:rPr>
        <w:lastRenderedPageBreak/>
        <w:br/>
      </w:r>
      <w:r w:rsidR="00A9342F" w:rsidRPr="00F31363">
        <w:rPr>
          <w:rFonts w:ascii="Times New Roman" w:hAnsi="Times New Roman" w:cs="Times New Roman"/>
          <w:b/>
          <w:bCs/>
          <w:lang w:val="es-CO"/>
        </w:rPr>
        <w:t>Justificación de la sanción.</w:t>
      </w:r>
    </w:p>
    <w:p w14:paraId="1909135C" w14:textId="31C0B8D2" w:rsidR="00E47D8F" w:rsidRPr="00F31363" w:rsidRDefault="00A9342F">
      <w:pPr>
        <w:rPr>
          <w:rFonts w:ascii="Times New Roman" w:hAnsi="Times New Roman" w:cs="Times New Roman"/>
          <w:lang w:val="es-CO"/>
        </w:rPr>
      </w:pPr>
      <w:r w:rsidRPr="00F31363">
        <w:rPr>
          <w:rFonts w:ascii="Times New Roman" w:hAnsi="Times New Roman" w:cs="Times New Roman"/>
          <w:lang w:val="es-CO"/>
        </w:rPr>
        <w:t>Al manipular información técnica en una obra pública, el ingeniero comprometido la seguridad de los usuarios, vulnero los principios de transparencia y afecta recursos públicos. Esto, según la Ley 842, configura una falta grave y gravísima, lo que permite sanciones que van desde suspensión hasta la cancelación de la matricula profesional.</w:t>
      </w:r>
      <w:r w:rsidRPr="00F31363">
        <w:rPr>
          <w:rFonts w:ascii="Times New Roman" w:hAnsi="Times New Roman" w:cs="Times New Roman"/>
          <w:lang w:val="es-CO"/>
        </w:rPr>
        <w:br/>
      </w:r>
      <w:r w:rsidRPr="00F31363">
        <w:rPr>
          <w:rFonts w:ascii="Times New Roman" w:hAnsi="Times New Roman" w:cs="Times New Roman"/>
          <w:lang w:val="es-CO"/>
        </w:rPr>
        <w:br/>
      </w:r>
      <w:r w:rsidRPr="00F31363">
        <w:rPr>
          <w:rFonts w:ascii="Times New Roman" w:hAnsi="Times New Roman" w:cs="Times New Roman"/>
          <w:b/>
          <w:bCs/>
          <w:lang w:val="es-CO"/>
        </w:rPr>
        <w:t>Conclusión.</w:t>
      </w:r>
      <w:r w:rsidRPr="00F31363">
        <w:rPr>
          <w:rFonts w:ascii="Times New Roman" w:hAnsi="Times New Roman" w:cs="Times New Roman"/>
          <w:lang w:val="es-CO"/>
        </w:rPr>
        <w:br/>
      </w:r>
      <w:r w:rsidRPr="00F31363">
        <w:rPr>
          <w:rFonts w:ascii="Times New Roman" w:hAnsi="Times New Roman" w:cs="Times New Roman"/>
          <w:lang w:val="es-CO"/>
        </w:rPr>
        <w:br/>
        <w:t>El caso evidencia como decisiones antiéticas en ingeniería pueden tener impactos críticos en la infraestructura pública, el uso adecuado de los recursos del Estado y la seguridad de los ciudadanos. El ingeniero implicado incumplió principios esenciales del ejercicio profesional como la integridad, la responsabilidad y la transparencia.</w:t>
      </w:r>
      <w:r w:rsidRPr="00F31363">
        <w:rPr>
          <w:rFonts w:ascii="Times New Roman" w:hAnsi="Times New Roman" w:cs="Times New Roman"/>
          <w:lang w:val="es-CO"/>
        </w:rPr>
        <w:br/>
      </w:r>
      <w:r w:rsidRPr="00F31363">
        <w:rPr>
          <w:rFonts w:ascii="Times New Roman" w:hAnsi="Times New Roman" w:cs="Times New Roman"/>
          <w:lang w:val="es-CO"/>
        </w:rPr>
        <w:br/>
        <w:t xml:space="preserve">A la luz del Código de Ética, sus acciones se </w:t>
      </w:r>
      <w:r w:rsidR="00336929" w:rsidRPr="00F31363">
        <w:rPr>
          <w:rFonts w:ascii="Times New Roman" w:hAnsi="Times New Roman" w:cs="Times New Roman"/>
          <w:lang w:val="es-CO"/>
        </w:rPr>
        <w:t>clasifican como faltas graves y gravísimas debido a la manipulación documental y el favorecimiento indebido de un contratista. Esto pone en riesgo la confianza pública de la ingeniería y en las instrucciones responsables de obras de gran impacto social.</w:t>
      </w:r>
      <w:r w:rsidR="00336929" w:rsidRPr="00F31363">
        <w:rPr>
          <w:rFonts w:ascii="Times New Roman" w:hAnsi="Times New Roman" w:cs="Times New Roman"/>
          <w:lang w:val="es-CO"/>
        </w:rPr>
        <w:br/>
      </w:r>
      <w:r w:rsidR="00336929" w:rsidRPr="00F31363">
        <w:rPr>
          <w:rFonts w:ascii="Times New Roman" w:hAnsi="Times New Roman" w:cs="Times New Roman"/>
          <w:lang w:val="es-CO"/>
        </w:rPr>
        <w:br/>
      </w:r>
      <w:r w:rsidR="00336929" w:rsidRPr="00F31363">
        <w:rPr>
          <w:rFonts w:ascii="Times New Roman" w:hAnsi="Times New Roman" w:cs="Times New Roman"/>
          <w:b/>
          <w:bCs/>
          <w:lang w:val="es-CO"/>
        </w:rPr>
        <w:t xml:space="preserve">Sugerencias </w:t>
      </w:r>
      <w:r w:rsidR="00E47D8F" w:rsidRPr="00F31363">
        <w:rPr>
          <w:rFonts w:ascii="Times New Roman" w:hAnsi="Times New Roman" w:cs="Times New Roman"/>
          <w:b/>
          <w:bCs/>
          <w:lang w:val="es-CO"/>
        </w:rPr>
        <w:br/>
      </w:r>
      <w:r w:rsidR="00E47D8F" w:rsidRPr="00F31363">
        <w:rPr>
          <w:rFonts w:ascii="Times New Roman" w:hAnsi="Times New Roman" w:cs="Times New Roman"/>
          <w:b/>
          <w:bCs/>
          <w:lang w:val="es-CO"/>
        </w:rPr>
        <w:br/>
      </w:r>
      <w:r w:rsidR="00E47D8F" w:rsidRPr="00F31363">
        <w:rPr>
          <w:rFonts w:ascii="Times New Roman" w:hAnsi="Times New Roman" w:cs="Times New Roman"/>
          <w:lang w:val="es-CO"/>
        </w:rPr>
        <w:t>Implementar sistemas de auditoria independientes que verifiquen informes técnicos sin intervención de los supervisores implicados.</w:t>
      </w:r>
      <w:r w:rsidR="00E47D8F" w:rsidRPr="00F31363">
        <w:rPr>
          <w:rFonts w:ascii="Times New Roman" w:hAnsi="Times New Roman" w:cs="Times New Roman"/>
          <w:lang w:val="es-CO"/>
        </w:rPr>
        <w:br/>
      </w:r>
      <w:r w:rsidR="00E47D8F" w:rsidRPr="00F31363">
        <w:rPr>
          <w:rFonts w:ascii="Times New Roman" w:hAnsi="Times New Roman" w:cs="Times New Roman"/>
          <w:lang w:val="es-CO"/>
        </w:rPr>
        <w:br/>
        <w:t>Reforzar la formación ética en ingeniería, enfocada en responsabilidad social y transparencia</w:t>
      </w:r>
      <w:r w:rsidR="00E47D8F" w:rsidRPr="00F31363">
        <w:rPr>
          <w:rFonts w:ascii="Times New Roman" w:hAnsi="Times New Roman" w:cs="Times New Roman"/>
          <w:lang w:val="es-CO"/>
        </w:rPr>
        <w:br/>
      </w:r>
      <w:r w:rsidR="00E47D8F" w:rsidRPr="00F31363">
        <w:rPr>
          <w:rFonts w:ascii="Times New Roman" w:hAnsi="Times New Roman" w:cs="Times New Roman"/>
          <w:lang w:val="es-CO"/>
        </w:rPr>
        <w:br/>
        <w:t xml:space="preserve">Digitalizar los procesos de interventoría utilizando trazabilidad y </w:t>
      </w:r>
      <w:proofErr w:type="spellStart"/>
      <w:r w:rsidR="00E47D8F" w:rsidRPr="00F31363">
        <w:rPr>
          <w:rFonts w:ascii="Times New Roman" w:hAnsi="Times New Roman" w:cs="Times New Roman"/>
          <w:lang w:val="es-CO"/>
        </w:rPr>
        <w:t>blockchain</w:t>
      </w:r>
      <w:proofErr w:type="spellEnd"/>
      <w:r w:rsidR="00E47D8F" w:rsidRPr="00F31363">
        <w:rPr>
          <w:rFonts w:ascii="Times New Roman" w:hAnsi="Times New Roman" w:cs="Times New Roman"/>
          <w:lang w:val="es-CO"/>
        </w:rPr>
        <w:t xml:space="preserve"> para impedir adulteración de documentos.</w:t>
      </w:r>
      <w:r w:rsidR="00E47D8F" w:rsidRPr="00F31363">
        <w:rPr>
          <w:rFonts w:ascii="Times New Roman" w:hAnsi="Times New Roman" w:cs="Times New Roman"/>
          <w:lang w:val="es-CO"/>
        </w:rPr>
        <w:br/>
      </w:r>
      <w:r w:rsidR="00E47D8F" w:rsidRPr="00F31363">
        <w:rPr>
          <w:rFonts w:ascii="Times New Roman" w:hAnsi="Times New Roman" w:cs="Times New Roman"/>
          <w:lang w:val="es-CO"/>
        </w:rPr>
        <w:br/>
        <w:t>Establecer canales seguros de denuncia para ingenieros y técnicos que detecten irregularidades.</w:t>
      </w:r>
      <w:r w:rsidR="00E47D8F" w:rsidRPr="00F31363">
        <w:rPr>
          <w:rFonts w:ascii="Times New Roman" w:hAnsi="Times New Roman" w:cs="Times New Roman"/>
          <w:lang w:val="es-CO"/>
        </w:rPr>
        <w:br/>
      </w:r>
      <w:r w:rsidR="00E47D8F" w:rsidRPr="00F31363">
        <w:rPr>
          <w:rFonts w:ascii="Times New Roman" w:hAnsi="Times New Roman" w:cs="Times New Roman"/>
          <w:lang w:val="es-CO"/>
        </w:rPr>
        <w:br/>
        <w:t>Rehacer las evaluaciones técnicas del proyecto con una interventoría externa.</w:t>
      </w:r>
    </w:p>
    <w:p w14:paraId="61E5CEF6" w14:textId="77777777" w:rsidR="00E47D8F" w:rsidRPr="00F31363" w:rsidRDefault="00E47D8F">
      <w:pPr>
        <w:rPr>
          <w:rFonts w:ascii="Times New Roman" w:hAnsi="Times New Roman" w:cs="Times New Roman"/>
          <w:lang w:val="es-CO"/>
        </w:rPr>
      </w:pPr>
      <w:r w:rsidRPr="00F31363">
        <w:rPr>
          <w:rFonts w:ascii="Times New Roman" w:hAnsi="Times New Roman" w:cs="Times New Roman"/>
          <w:lang w:val="es-CO"/>
        </w:rPr>
        <w:t>Revisar todos los contratos asociados para identificar posibles sobrecostos</w:t>
      </w:r>
    </w:p>
    <w:p w14:paraId="6E5E9CD4" w14:textId="6BCF29B6" w:rsidR="00E47D8F" w:rsidRPr="00F31363" w:rsidRDefault="00E47D8F">
      <w:pPr>
        <w:rPr>
          <w:rFonts w:ascii="Times New Roman" w:hAnsi="Times New Roman" w:cs="Times New Roman"/>
          <w:lang w:val="es-CO"/>
        </w:rPr>
      </w:pPr>
      <w:r w:rsidRPr="00F31363">
        <w:rPr>
          <w:rFonts w:ascii="Times New Roman" w:hAnsi="Times New Roman" w:cs="Times New Roman"/>
          <w:lang w:val="es-CO"/>
        </w:rPr>
        <w:t>Sancionar penalmente y administrativa a los responsables para restablecer la confianza institucional</w:t>
      </w:r>
      <w:r w:rsidR="00F31363" w:rsidRPr="00F31363">
        <w:rPr>
          <w:rFonts w:ascii="Times New Roman" w:hAnsi="Times New Roman" w:cs="Times New Roman"/>
          <w:lang w:val="es-CO"/>
        </w:rPr>
        <w:br/>
      </w:r>
      <w:r w:rsidR="00F31363" w:rsidRPr="00F31363">
        <w:rPr>
          <w:rFonts w:ascii="Times New Roman" w:hAnsi="Times New Roman" w:cs="Times New Roman"/>
          <w:lang w:val="es-CO"/>
        </w:rPr>
        <w:br/>
      </w:r>
      <w:r w:rsidR="00F31363" w:rsidRPr="00F31363">
        <w:rPr>
          <w:rFonts w:ascii="Times New Roman" w:hAnsi="Times New Roman" w:cs="Times New Roman"/>
          <w:lang w:val="es-CO"/>
        </w:rPr>
        <w:t>Implementar un plan de mejora que garantice calidad y seguridad en la obra.</w:t>
      </w:r>
      <w:r w:rsidR="00F31363" w:rsidRPr="00F31363">
        <w:rPr>
          <w:rFonts w:ascii="Times New Roman" w:hAnsi="Times New Roman" w:cs="Times New Roman"/>
          <w:lang w:val="es-CO"/>
        </w:rPr>
        <w:br/>
      </w:r>
      <w:r w:rsidR="00F31363" w:rsidRPr="00F31363">
        <w:rPr>
          <w:rFonts w:ascii="Times New Roman" w:hAnsi="Times New Roman" w:cs="Times New Roman"/>
          <w:lang w:val="es-CO"/>
        </w:rPr>
        <w:lastRenderedPageBreak/>
        <w:br/>
      </w:r>
      <w:r w:rsidR="00F31363" w:rsidRPr="00F31363">
        <w:rPr>
          <w:rFonts w:ascii="Times New Roman" w:hAnsi="Times New Roman" w:cs="Times New Roman"/>
          <w:b/>
          <w:bCs/>
          <w:lang w:val="es-CO"/>
        </w:rPr>
        <w:t xml:space="preserve">Referencias </w:t>
      </w:r>
      <w:r w:rsidR="00F31363" w:rsidRPr="00F31363">
        <w:rPr>
          <w:rFonts w:ascii="Times New Roman" w:hAnsi="Times New Roman" w:cs="Times New Roman"/>
          <w:b/>
          <w:bCs/>
          <w:lang w:val="es-CO"/>
        </w:rPr>
        <w:t>Bibliográficas</w:t>
      </w:r>
      <w:r w:rsidR="00F31363" w:rsidRPr="00F31363">
        <w:rPr>
          <w:rFonts w:ascii="Times New Roman" w:hAnsi="Times New Roman" w:cs="Times New Roman"/>
          <w:b/>
          <w:bCs/>
          <w:lang w:val="es-CO"/>
        </w:rPr>
        <w:t>:</w:t>
      </w:r>
    </w:p>
    <w:p w14:paraId="4E1DADC5" w14:textId="6C5BBD07" w:rsidR="00A9342F" w:rsidRPr="00F31363" w:rsidRDefault="00F31363" w:rsidP="00F3136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F31363">
        <w:rPr>
          <w:rFonts w:ascii="Times New Roman" w:hAnsi="Times New Roman" w:cs="Times New Roman"/>
          <w:lang w:val="es-CO"/>
        </w:rPr>
        <w:t xml:space="preserve">Sandoval González, D. M. (2017). </w:t>
      </w:r>
      <w:r w:rsidRPr="00F31363">
        <w:rPr>
          <w:rFonts w:ascii="Times New Roman" w:hAnsi="Times New Roman" w:cs="Times New Roman"/>
          <w:i/>
          <w:iCs/>
          <w:lang w:val="es-CO"/>
        </w:rPr>
        <w:t>La ética en ingeniería: procesos éticos y disciplinarios a ingenieros profesionales en Colombia</w:t>
      </w:r>
      <w:r w:rsidRPr="00F31363">
        <w:rPr>
          <w:rFonts w:ascii="Times New Roman" w:hAnsi="Times New Roman" w:cs="Times New Roman"/>
          <w:lang w:val="es-CO"/>
        </w:rPr>
        <w:t xml:space="preserve"> (pp. 26–35). </w:t>
      </w:r>
      <w:r w:rsidRPr="00F31363">
        <w:rPr>
          <w:rFonts w:ascii="Times New Roman" w:hAnsi="Times New Roman" w:cs="Times New Roman"/>
        </w:rPr>
        <w:t>Universidad Nacional de Colombia.</w:t>
      </w:r>
    </w:p>
    <w:p w14:paraId="09E40DBC" w14:textId="40802A2E" w:rsidR="00F31363" w:rsidRPr="00F31363" w:rsidRDefault="00F31363" w:rsidP="00F3136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F31363">
        <w:rPr>
          <w:rFonts w:ascii="Times New Roman" w:hAnsi="Times New Roman" w:cs="Times New Roman"/>
          <w:lang w:val="es-CO"/>
        </w:rPr>
        <w:t xml:space="preserve">Chávez Alcaraz, E. (2015). </w:t>
      </w:r>
      <w:r w:rsidRPr="00F31363">
        <w:rPr>
          <w:rFonts w:ascii="Times New Roman" w:hAnsi="Times New Roman" w:cs="Times New Roman"/>
          <w:i/>
          <w:iCs/>
          <w:lang w:val="es-CO"/>
        </w:rPr>
        <w:t>Ética para ingenieros</w:t>
      </w:r>
      <w:r w:rsidRPr="00F31363">
        <w:rPr>
          <w:rFonts w:ascii="Times New Roman" w:hAnsi="Times New Roman" w:cs="Times New Roman"/>
          <w:lang w:val="es-CO"/>
        </w:rPr>
        <w:t xml:space="preserve"> (pp. 12–24). </w:t>
      </w:r>
      <w:r w:rsidRPr="00F31363">
        <w:rPr>
          <w:rFonts w:ascii="Times New Roman" w:hAnsi="Times New Roman" w:cs="Times New Roman"/>
        </w:rPr>
        <w:t>Grupo Editorial Patria.</w:t>
      </w:r>
    </w:p>
    <w:p w14:paraId="5C30A913" w14:textId="567C299B" w:rsidR="00F31363" w:rsidRPr="00F31363" w:rsidRDefault="00F31363" w:rsidP="00F3136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F31363">
        <w:rPr>
          <w:rFonts w:ascii="Times New Roman" w:hAnsi="Times New Roman" w:cs="Times New Roman"/>
          <w:lang w:val="es-CO"/>
        </w:rPr>
        <w:t xml:space="preserve">Castillo Briceño, C. (2010). Fundamentos de los códigos de ética de los colegios profesionales. </w:t>
      </w:r>
      <w:proofErr w:type="spellStart"/>
      <w:r w:rsidRPr="00F31363">
        <w:rPr>
          <w:rFonts w:ascii="Times New Roman" w:hAnsi="Times New Roman" w:cs="Times New Roman"/>
          <w:i/>
          <w:iCs/>
        </w:rPr>
        <w:t>Revista</w:t>
      </w:r>
      <w:proofErr w:type="spellEnd"/>
      <w:r w:rsidRPr="00F3136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31363">
        <w:rPr>
          <w:rFonts w:ascii="Times New Roman" w:hAnsi="Times New Roman" w:cs="Times New Roman"/>
          <w:i/>
          <w:iCs/>
        </w:rPr>
        <w:t>Educación</w:t>
      </w:r>
      <w:proofErr w:type="spellEnd"/>
      <w:r w:rsidRPr="00F31363">
        <w:rPr>
          <w:rFonts w:ascii="Times New Roman" w:hAnsi="Times New Roman" w:cs="Times New Roman"/>
          <w:i/>
          <w:iCs/>
        </w:rPr>
        <w:t>, 34</w:t>
      </w:r>
      <w:r w:rsidRPr="00F31363">
        <w:rPr>
          <w:rFonts w:ascii="Times New Roman" w:hAnsi="Times New Roman" w:cs="Times New Roman"/>
        </w:rPr>
        <w:t>(1), 119–141.</w:t>
      </w:r>
    </w:p>
    <w:sectPr w:rsidR="00F31363" w:rsidRPr="00F313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C6CF1"/>
    <w:multiLevelType w:val="hybridMultilevel"/>
    <w:tmpl w:val="5746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2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82"/>
    <w:rsid w:val="00136782"/>
    <w:rsid w:val="002631BA"/>
    <w:rsid w:val="002D0E41"/>
    <w:rsid w:val="00336929"/>
    <w:rsid w:val="0035121C"/>
    <w:rsid w:val="003805EC"/>
    <w:rsid w:val="003D52D8"/>
    <w:rsid w:val="004A0AF2"/>
    <w:rsid w:val="004C3804"/>
    <w:rsid w:val="00A9342F"/>
    <w:rsid w:val="00AA33D8"/>
    <w:rsid w:val="00E47D8F"/>
    <w:rsid w:val="00F3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D54D"/>
  <w15:chartTrackingRefBased/>
  <w15:docId w15:val="{5235FCB1-1B9B-43F0-A783-9E84F9BC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7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7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7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7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7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7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7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7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7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7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7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6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3</cp:revision>
  <cp:lastPrinted>2025-11-25T03:52:00Z</cp:lastPrinted>
  <dcterms:created xsi:type="dcterms:W3CDTF">2025-11-25T02:35:00Z</dcterms:created>
  <dcterms:modified xsi:type="dcterms:W3CDTF">2025-11-25T05:03:00Z</dcterms:modified>
</cp:coreProperties>
</file>