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4. Cost Structure dan Budgeting</w:t>
      </w:r>
    </w:p>
    <w:p>
      <w:pPr>
        <w:pStyle w:val="Heading2"/>
      </w:pPr>
      <w:r>
        <w:t>A. Biaya Awal (Initial Cost / Startup Cost)</w:t>
      </w:r>
    </w:p>
    <w:p>
      <w:r>
        <w:t>(Catatan: Sebagai startup mahasiswa, Artlance menekan biaya awal dengan memanfaatkan keahlian internal tim untuk desain dan menggunakan aset laptop pribadi).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Kebutuhan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Harga Satuan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Domain Website (.com/.id)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Rp 200.000</w:t>
            </w:r>
          </w:p>
        </w:tc>
        <w:tc>
          <w:tcPr>
            <w:tcW w:type="dxa" w:w="1728"/>
          </w:tcPr>
          <w:p>
            <w:r>
              <w:t>Rp 200.000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Cloud Server / VPS (1 Thn)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Rp 1.500.000</w:t>
            </w:r>
          </w:p>
        </w:tc>
        <w:tc>
          <w:tcPr>
            <w:tcW w:type="dxa" w:w="1728"/>
          </w:tcPr>
          <w:p>
            <w:r>
              <w:t>Rp 1.500.000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Legalitas (PT Perorangan)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Rp 500.000</w:t>
            </w:r>
          </w:p>
        </w:tc>
        <w:tc>
          <w:tcPr>
            <w:tcW w:type="dxa" w:w="1728"/>
          </w:tcPr>
          <w:p>
            <w:r>
              <w:t>Rp 500.000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Lisensi Software (Canva/Figma)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Rp 500.000</w:t>
            </w:r>
          </w:p>
        </w:tc>
        <w:tc>
          <w:tcPr>
            <w:tcW w:type="dxa" w:w="1728"/>
          </w:tcPr>
          <w:p>
            <w:r>
              <w:t>Rp 500.000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Laptop / Device Pendukung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Rp 0 (Pribadi)</w:t>
            </w:r>
          </w:p>
        </w:tc>
        <w:tc>
          <w:tcPr>
            <w:tcW w:type="dxa" w:w="1728"/>
          </w:tcPr>
          <w:p>
            <w:r>
              <w:t>Rp 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UI/UX &amp; Branding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Rp 0 (Tim)</w:t>
            </w:r>
          </w:p>
        </w:tc>
        <w:tc>
          <w:tcPr>
            <w:tcW w:type="dxa" w:w="1728"/>
          </w:tcPr>
          <w:p>
            <w:r>
              <w:t>Rp 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Operasional Awal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Rp 300.000</w:t>
            </w:r>
          </w:p>
        </w:tc>
        <w:tc>
          <w:tcPr>
            <w:tcW w:type="dxa" w:w="1728"/>
          </w:tcPr>
          <w:p>
            <w:r>
              <w:t>Rp 300.000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Rp 3.000.000</w:t>
            </w:r>
          </w:p>
        </w:tc>
      </w:tr>
    </w:tbl>
    <w:p/>
    <w:p>
      <w:pPr>
        <w:pStyle w:val="Heading2"/>
      </w:pPr>
      <w:r>
        <w:t>B. Operational Cost Bulanan</w:t>
      </w:r>
    </w:p>
    <w:p>
      <w:r>
        <w:t>(Catatan: Gaji tim ditekan seminimal mungkin pada tahun pertama karena menggunakan sistem bootstrapping founder).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Komponen Biaya Operasional</w:t>
            </w:r>
          </w:p>
        </w:tc>
        <w:tc>
          <w:tcPr>
            <w:tcW w:type="dxa" w:w="2880"/>
          </w:tcPr>
          <w:p>
            <w:r>
              <w:t>Biaya/Bulan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Internet &amp; Listrik Basecamp</w:t>
            </w:r>
          </w:p>
        </w:tc>
        <w:tc>
          <w:tcPr>
            <w:tcW w:type="dxa" w:w="2880"/>
          </w:tcPr>
          <w:p>
            <w:r>
              <w:t>Rp 200.000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Digital Marketing Ads</w:t>
            </w:r>
          </w:p>
        </w:tc>
        <w:tc>
          <w:tcPr>
            <w:tcW w:type="dxa" w:w="2880"/>
          </w:tcPr>
          <w:p>
            <w:r>
              <w:t>Rp 500.000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Admin Payment Gateway</w:t>
            </w:r>
          </w:p>
        </w:tc>
        <w:tc>
          <w:tcPr>
            <w:tcW w:type="dxa" w:w="2880"/>
          </w:tcPr>
          <w:p>
            <w:r>
              <w:t>Rp 100.000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Maintenance Sistem &amp; API</w:t>
            </w:r>
          </w:p>
        </w:tc>
        <w:tc>
          <w:tcPr>
            <w:tcW w:type="dxa" w:w="2880"/>
          </w:tcPr>
          <w:p>
            <w:r>
              <w:t>Rp 100.000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Gaji Tim Founder</w:t>
            </w:r>
          </w:p>
        </w:tc>
        <w:tc>
          <w:tcPr>
            <w:tcW w:type="dxa" w:w="2880"/>
          </w:tcPr>
          <w:p>
            <w:r>
              <w:t>Rp 1.500.000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Rp 2.400.000</w:t>
            </w:r>
          </w:p>
        </w:tc>
      </w:tr>
    </w:tbl>
    <w:p/>
    <w:p>
      <w:pPr>
        <w:pStyle w:val="Heading2"/>
      </w:pPr>
      <w:r>
        <w:t>C. Proyeksi Pendapatan (Estimasi Tahun 1)</w:t>
      </w:r>
    </w:p>
    <w:p>
      <w:r>
        <w:t>(Catatan: Rata-rata nilai 1 transaksi adalah Rp 50.000, dengan potongan komisi platform sebesar 10% atau Rp 5.000 per transaksi).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Sumber Pendapatan</w:t>
            </w:r>
          </w:p>
        </w:tc>
        <w:tc>
          <w:tcPr>
            <w:tcW w:type="dxa" w:w="2880"/>
          </w:tcPr>
          <w:p>
            <w:r>
              <w:t>Estimasi/Bulan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Komisi Transaksi (Target 100/bln)</w:t>
            </w:r>
          </w:p>
        </w:tc>
        <w:tc>
          <w:tcPr>
            <w:tcW w:type="dxa" w:w="2880"/>
          </w:tcPr>
          <w:p>
            <w:r>
              <w:t>Rp 500.000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Fitur "Promoted Gig"</w:t>
            </w:r>
          </w:p>
        </w:tc>
        <w:tc>
          <w:tcPr>
            <w:tcW w:type="dxa" w:w="2880"/>
          </w:tcPr>
          <w:p>
            <w:r>
              <w:t>Rp 100.000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Pendaftaran Akun Dasar</w:t>
            </w:r>
          </w:p>
        </w:tc>
        <w:tc>
          <w:tcPr>
            <w:tcW w:type="dxa" w:w="2880"/>
          </w:tcPr>
          <w:p>
            <w:r>
              <w:t>Rp 0 (Gratis)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Rp 600.000</w:t>
            </w:r>
          </w:p>
        </w:tc>
      </w:tr>
    </w:tbl>
    <w:p/>
    <w:p>
      <w:pPr>
        <w:pStyle w:val="Heading2"/>
      </w:pPr>
      <w:r>
        <w:t>D. Analisis Break Even Point (BEP)</w:t>
      </w:r>
    </w:p>
    <w:p>
      <w:r>
        <w:rPr>
          <w:b/>
        </w:rPr>
        <w:t>Kapan venture diperkirakan balik modal:</w:t>
      </w:r>
    </w:p>
    <w:p>
      <w:r>
        <w:t>Berdasarkan analisis proyeksi keuangan dengan konsep kurva J (J-Curve), Artlance diperkirakan akan mencapai Break Even Point (BEP) pada Bulan ke-28 (Pertengahan Tahun ke-3).</w:t>
      </w:r>
    </w:p>
    <w:p>
      <w:r>
        <w:rPr>
          <w:b/>
        </w:rPr>
        <w:t>Strategi meningkatkan profit:</w:t>
      </w:r>
    </w:p>
    <w:p>
      <w:r>
        <w:t>Menarik klien UMKM lebih besar, menawarkan fitur subscription bagi freelancer pro untuk analytics dasbor, dan menerapkan sistem tiering komisi.</w:t>
      </w:r>
    </w:p>
    <w:p>
      <w:r>
        <w:rPr>
          <w:b/>
        </w:rPr>
        <w:t>Strategi efisiensi biaya:</w:t>
      </w:r>
    </w:p>
    <w:p>
      <w:r>
        <w:t>Memaksimalkan organic traffic melalui TikTok/Reels, bekerja secara WFH untuk menghilangkan biaya sewa kantor, dan menggunakan layanan cloud pay-as-you-go.</w:t>
      </w:r>
    </w:p>
    <w:p>
      <w:r>
        <w:rPr>
          <w:b/>
        </w:rPr>
        <w:t>Risiko bisnis dan mitigasinya:</w:t>
      </w:r>
    </w:p>
    <w:p>
      <w:r>
        <w:t>Risiko: Transaksi di luar platform (bypass). Mitigasi: Menerapkan sistem Escrow (Rekening Bersama) untuk menjamin keamanan transaksi.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