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9C41" w14:textId="77777777" w:rsidR="005E7F49" w:rsidRDefault="00000000">
      <w:pPr>
        <w:pStyle w:val="Heading2"/>
      </w:pPr>
      <w:proofErr w:type="gramStart"/>
      <w:r>
        <w:t>4.2  Low</w:t>
      </w:r>
      <w:proofErr w:type="gramEnd"/>
      <w:r>
        <w:t>-Rate Flow-Table Overflow Attacks</w:t>
      </w:r>
    </w:p>
    <w:p w14:paraId="51562734" w14:textId="191F40FB" w:rsidR="005E7F49" w:rsidRDefault="00000000">
      <w:pPr>
        <w:spacing w:after="160"/>
        <w:jc w:val="both"/>
      </w:pPr>
      <w:r>
        <w:t xml:space="preserve">The separation of control and data planes in Software-Defined Networking (SDN) offers well-documented gains in manageability and programmability, yet it simultaneously introduces a class of resource asymmetries that adversaries can exploit at surprisingly low cost. Chief among these is the finite capacity of flow tables stored in Ternary Content-Addressable Memory (TCAM). Because TCAM is expensive, power-hungry, and physically constrained, commodity SDN switches typically provision only a few thousand entries per table [CITE]. The reactive rule-installation model compounds this constraint: a packet belonging to an unrecognised flow triggers a Packet-In event to the controller, which must compute and install a matching rule before forwarding can resume. An adversary who understands this pipeline can exploit it to produce outsized harm from a modest packet </w:t>
      </w:r>
      <w:proofErr w:type="gramStart"/>
      <w:r>
        <w:t>stream</w:t>
      </w:r>
      <w:r w:rsidR="00BD5CF5">
        <w:t>,</w:t>
      </w:r>
      <w:proofErr w:type="gramEnd"/>
      <w:r w:rsidR="00BD5CF5">
        <w:t xml:space="preserve"> </w:t>
      </w:r>
      <w:r>
        <w:t>a threat commonly termed a low-rate flow-table overflow attack.</w:t>
      </w:r>
    </w:p>
    <w:p w14:paraId="712ADB91" w14:textId="357D4288" w:rsidR="005E7F49" w:rsidRDefault="00000000">
      <w:pPr>
        <w:spacing w:after="160"/>
        <w:jc w:val="both"/>
      </w:pPr>
      <w:r>
        <w:t>Unlike volumetric denial-of-service (DoS) attacks, which rely on saturating link bandwidth, low-rate overflow attacks target the control plane’s rule-management overhead rather than the data plane’s forwarding capacity. The attacker injects packets with distinct header fields</w:t>
      </w:r>
      <w:r w:rsidR="00BD5CF5">
        <w:t xml:space="preserve">, </w:t>
      </w:r>
      <w:r>
        <w:t>for example, spoofed source addresses drawn from a large address space</w:t>
      </w:r>
      <w:r w:rsidR="00BD5CF5">
        <w:t xml:space="preserve">, </w:t>
      </w:r>
      <w:r>
        <w:t xml:space="preserve">so that each packet triggers the installation of a new flow entry. Once TCAM capacity is reached, the switch must either drop incoming Packet-In requests, evict existing entries, or buffer packets in software, all of which raise forwarding latency, increase rule-installation failures, and amplify control-channel traffic. Legitimate flows consequently suffer measurable degradation in throughput and completion </w:t>
      </w:r>
      <w:proofErr w:type="gramStart"/>
      <w:r>
        <w:t xml:space="preserve">time </w:t>
      </w:r>
      <w:r w:rsidR="00BD5CF5">
        <w:t>,</w:t>
      </w:r>
      <w:proofErr w:type="gramEnd"/>
      <w:r w:rsidR="00BD5CF5">
        <w:t xml:space="preserve"> </w:t>
      </w:r>
      <w:r>
        <w:t>even though the attack traffic itself may be imperceptible to conventional rate-based monitors.</w:t>
      </w:r>
    </w:p>
    <w:p w14:paraId="1436362D" w14:textId="6D9A29D5" w:rsidR="005E7F49" w:rsidRDefault="00000000">
      <w:pPr>
        <w:spacing w:after="160"/>
        <w:jc w:val="both"/>
      </w:pPr>
      <w:r>
        <w:t>The defining property of these attacks is resource asymmetry. Sustaining a full-table condition requires only that the attacker inject new flows faster than the switch can evict stale entries via idle or hard timeouts. In practice, this translates to a packet rate that may be orders of magnitude lower than the switch’s line rate, allowing the attacker to operate beneath the detection threshold of rate-based monitoring systems while still maintaining persistent control-plane saturation.</w:t>
      </w:r>
    </w:p>
    <w:p w14:paraId="7EC9106B" w14:textId="77777777" w:rsidR="005E7F49" w:rsidRDefault="00000000">
      <w:pPr>
        <w:spacing w:after="100"/>
        <w:jc w:val="both"/>
      </w:pPr>
      <w:r>
        <w:t>Low-rate overflow attacks generally unfold in two operationally distinct phases:</w:t>
      </w:r>
    </w:p>
    <w:p w14:paraId="0287E24B" w14:textId="4E43D2D4" w:rsidR="005E7F49" w:rsidRDefault="00000000">
      <w:pPr>
        <w:pStyle w:val="ListParagraph"/>
        <w:numPr>
          <w:ilvl w:val="0"/>
          <w:numId w:val="2"/>
        </w:numPr>
        <w:jc w:val="both"/>
      </w:pPr>
      <w:r>
        <w:rPr>
          <w:b/>
          <w:bCs/>
        </w:rPr>
        <w:t xml:space="preserve">Probing phase. </w:t>
      </w:r>
      <w:r>
        <w:t>The adversary uses timing side-channels to infer switch-specific parameters, including flow-table capacity, supported match fields, wildcard mask granularity, and timeout configuration. Measured round-trip times for probe packets reveal when the table is full and when entries have expired, providing the attacker with the information needed to calibrate the subsequent attack.</w:t>
      </w:r>
    </w:p>
    <w:p w14:paraId="32010FD1" w14:textId="214C2859" w:rsidR="005E7F49" w:rsidRDefault="00000000">
      <w:pPr>
        <w:pStyle w:val="ListParagraph"/>
        <w:numPr>
          <w:ilvl w:val="0"/>
          <w:numId w:val="2"/>
        </w:numPr>
        <w:spacing w:after="160"/>
        <w:jc w:val="both"/>
      </w:pPr>
      <w:r>
        <w:rPr>
          <w:b/>
          <w:bCs/>
        </w:rPr>
        <w:t xml:space="preserve">Saturation phase. </w:t>
      </w:r>
      <w:r>
        <w:t>Armed with accurate timeout and capacity estimates, the adversary injects new flows at a rate just sufficient to replace expiring entries, keeping the table at or near saturation indefinitely. The minimal sustainable rate can be approximated as r ≥ C / Tₙ, where C is the table capacity and Tₙ is the idle timeout; in practice, slightly higher rates are used to absorb variance in rule-expiry timing.</w:t>
      </w:r>
    </w:p>
    <w:p w14:paraId="6DC8A416" w14:textId="032CDE00" w:rsidR="005E7F49" w:rsidRDefault="00000000">
      <w:pPr>
        <w:spacing w:after="160"/>
        <w:jc w:val="both"/>
      </w:pPr>
      <w:r>
        <w:t xml:space="preserve">The viability of this strategy is heavily conditioned on switch configuration. Short idle timeouts demand higher refresh rates from the attacker but also limit the window during which any given entry occupies a slot; long hard timeouts allow a smaller packet stream to maintain saturation for extended periods once the table is initially filled. This dependency suggests that effective attack </w:t>
      </w:r>
      <w:r>
        <w:lastRenderedPageBreak/>
        <w:t>strategies must be configuration-aware, and several recent proposals have demonstrated adaptive mechanisms that probe timeout parameters continuously and adjust injection rates accordingl</w:t>
      </w:r>
      <w:r w:rsidR="00BD5CF5">
        <w:t>y.</w:t>
      </w:r>
    </w:p>
    <w:p w14:paraId="454BC4B2" w14:textId="77777777" w:rsidR="005E7F49" w:rsidRDefault="00000000">
      <w:pPr>
        <w:spacing w:after="160"/>
        <w:jc w:val="both"/>
      </w:pPr>
      <w:r>
        <w:t xml:space="preserve">The remainder of this section is organised as follows. Section 4.2.1 examines the architectural preconditions—TCAM constraints, reactive installation, and timeout semantics—that make such attacks feasible. Section 4.2.2 surveys probing techniques reported in the literature and evaluates their accuracy under various switch configurations. Section 4.2.3 analyses saturation mechanisms and characterises attack variants, including wildcard-aware and multi-table strategies. Section 4.2.4 then reviews proposed countermeasures, assessing their efficacy and the trade-offs each </w:t>
      </w:r>
      <w:proofErr w:type="gramStart"/>
      <w:r>
        <w:t>entails</w:t>
      </w:r>
      <w:proofErr w:type="gramEnd"/>
      <w:r>
        <w:t>.</w:t>
      </w:r>
    </w:p>
    <w:p w14:paraId="06C5BF4D" w14:textId="77777777" w:rsidR="005E7F49" w:rsidRDefault="00000000">
      <w:pPr>
        <w:pStyle w:val="Heading3"/>
      </w:pPr>
      <w:r>
        <w:t>Revision Notes (for author review)</w:t>
      </w:r>
    </w:p>
    <w:p w14:paraId="6B48B042" w14:textId="77777777" w:rsidR="005E7F49" w:rsidRDefault="00000000">
      <w:pPr>
        <w:spacing w:after="100"/>
      </w:pPr>
      <w:r>
        <w:rPr>
          <w:b/>
          <w:bCs/>
        </w:rPr>
        <w:t>Key changes made:</w:t>
      </w:r>
    </w:p>
    <w:p w14:paraId="5E9EB229" w14:textId="77777777" w:rsidR="005E7F49" w:rsidRDefault="00000000">
      <w:pPr>
        <w:spacing w:after="80"/>
        <w:jc w:val="both"/>
      </w:pPr>
      <w:r>
        <w:t>•  Removed the opening SDN definition (assumes reader background); opened directly with the architectural tension.</w:t>
      </w:r>
    </w:p>
    <w:p w14:paraId="0925B52D" w14:textId="77777777" w:rsidR="005E7F49" w:rsidRDefault="00000000">
      <w:pPr>
        <w:spacing w:after="80"/>
        <w:jc w:val="both"/>
      </w:pPr>
      <w:r>
        <w:t>•  Replaced “carefully crafted packets” with a precise description of the triggering mechanism.</w:t>
      </w:r>
    </w:p>
    <w:p w14:paraId="06A43081" w14:textId="77777777" w:rsidR="005E7F49" w:rsidRDefault="00000000">
      <w:pPr>
        <w:spacing w:after="80"/>
        <w:jc w:val="both"/>
      </w:pPr>
      <w:r>
        <w:t>•  Replaced vague “degrading network performance” with specific metrics: latency, throughput, completion time.</w:t>
      </w:r>
    </w:p>
    <w:p w14:paraId="63E57E55" w14:textId="77777777" w:rsidR="005E7F49" w:rsidRDefault="00000000">
      <w:pPr>
        <w:spacing w:after="80"/>
        <w:jc w:val="both"/>
      </w:pPr>
      <w:r>
        <w:t>•  Added a minimal formal notation for the saturation rate in Phase 2 to ground the claim analytically.</w:t>
      </w:r>
    </w:p>
    <w:p w14:paraId="762C68EE" w14:textId="77777777" w:rsidR="005E7F49" w:rsidRDefault="00000000">
      <w:pPr>
        <w:spacing w:after="80"/>
        <w:jc w:val="both"/>
      </w:pPr>
      <w:r>
        <w:t>•  Replaced the mechanical roadmap sentence with section-number-anchored signposting consistent with IEEE/ACM survey style.</w:t>
      </w:r>
    </w:p>
    <w:p w14:paraId="20C25B70" w14:textId="77777777" w:rsidR="005E7F49" w:rsidRDefault="00000000">
      <w:pPr>
        <w:spacing w:after="80"/>
        <w:jc w:val="both"/>
      </w:pPr>
      <w:r>
        <w:t>•  Added [CITE] placeholders throughout: every empirical or technical claim now has a citation slot. Fill these with your actual references before submission.</w:t>
      </w:r>
    </w:p>
    <w:p w14:paraId="5B3A9D98" w14:textId="77777777" w:rsidR="005E7F49" w:rsidRDefault="00000000">
      <w:pPr>
        <w:spacing w:after="80"/>
        <w:jc w:val="both"/>
      </w:pPr>
      <w:r>
        <w:t>•  Removed excess hedges (“typically,” “particularly,” “thereby”) and nominalisations (“inducing persistent performance degradation” → “maintaining persistent saturation”).</w:t>
      </w:r>
    </w:p>
    <w:sectPr w:rsidR="005E7F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5C45"/>
    <w:multiLevelType w:val="hybridMultilevel"/>
    <w:tmpl w:val="07AA4B98"/>
    <w:lvl w:ilvl="0" w:tplc="5936D31E">
      <w:start w:val="1"/>
      <w:numFmt w:val="bullet"/>
      <w:lvlText w:val="●"/>
      <w:lvlJc w:val="left"/>
      <w:pPr>
        <w:ind w:left="720" w:hanging="360"/>
      </w:pPr>
    </w:lvl>
    <w:lvl w:ilvl="1" w:tplc="B5A06892">
      <w:start w:val="1"/>
      <w:numFmt w:val="bullet"/>
      <w:lvlText w:val="○"/>
      <w:lvlJc w:val="left"/>
      <w:pPr>
        <w:ind w:left="1440" w:hanging="360"/>
      </w:pPr>
    </w:lvl>
    <w:lvl w:ilvl="2" w:tplc="0080A294">
      <w:start w:val="1"/>
      <w:numFmt w:val="bullet"/>
      <w:lvlText w:val="■"/>
      <w:lvlJc w:val="left"/>
      <w:pPr>
        <w:ind w:left="2160" w:hanging="360"/>
      </w:pPr>
    </w:lvl>
    <w:lvl w:ilvl="3" w:tplc="91C26158">
      <w:start w:val="1"/>
      <w:numFmt w:val="bullet"/>
      <w:lvlText w:val="●"/>
      <w:lvlJc w:val="left"/>
      <w:pPr>
        <w:ind w:left="2880" w:hanging="360"/>
      </w:pPr>
    </w:lvl>
    <w:lvl w:ilvl="4" w:tplc="F9EA0B1E">
      <w:start w:val="1"/>
      <w:numFmt w:val="bullet"/>
      <w:lvlText w:val="○"/>
      <w:lvlJc w:val="left"/>
      <w:pPr>
        <w:ind w:left="3600" w:hanging="360"/>
      </w:pPr>
    </w:lvl>
    <w:lvl w:ilvl="5" w:tplc="B792E216">
      <w:start w:val="1"/>
      <w:numFmt w:val="bullet"/>
      <w:lvlText w:val="■"/>
      <w:lvlJc w:val="left"/>
      <w:pPr>
        <w:ind w:left="4320" w:hanging="360"/>
      </w:pPr>
    </w:lvl>
    <w:lvl w:ilvl="6" w:tplc="EB745E3C">
      <w:start w:val="1"/>
      <w:numFmt w:val="bullet"/>
      <w:lvlText w:val="●"/>
      <w:lvlJc w:val="left"/>
      <w:pPr>
        <w:ind w:left="5040" w:hanging="360"/>
      </w:pPr>
    </w:lvl>
    <w:lvl w:ilvl="7" w:tplc="777EBE5C">
      <w:start w:val="1"/>
      <w:numFmt w:val="bullet"/>
      <w:lvlText w:val="●"/>
      <w:lvlJc w:val="left"/>
      <w:pPr>
        <w:ind w:left="5760" w:hanging="360"/>
      </w:pPr>
    </w:lvl>
    <w:lvl w:ilvl="8" w:tplc="489E6A3C">
      <w:start w:val="1"/>
      <w:numFmt w:val="bullet"/>
      <w:lvlText w:val="●"/>
      <w:lvlJc w:val="left"/>
      <w:pPr>
        <w:ind w:left="6480" w:hanging="360"/>
      </w:pPr>
    </w:lvl>
  </w:abstractNum>
  <w:abstractNum w:abstractNumId="1" w15:restartNumberingAfterBreak="0">
    <w:nsid w:val="6B6C59EC"/>
    <w:multiLevelType w:val="hybridMultilevel"/>
    <w:tmpl w:val="14EAD906"/>
    <w:lvl w:ilvl="0" w:tplc="73C25890">
      <w:start w:val="1"/>
      <w:numFmt w:val="decimal"/>
      <w:lvlText w:val="%1."/>
      <w:lvlJc w:val="left"/>
      <w:pPr>
        <w:spacing w:after="100"/>
        <w:ind w:left="720" w:hanging="360"/>
      </w:pPr>
    </w:lvl>
    <w:lvl w:ilvl="1" w:tplc="056E8B46">
      <w:numFmt w:val="decimal"/>
      <w:lvlText w:val=""/>
      <w:lvlJc w:val="left"/>
    </w:lvl>
    <w:lvl w:ilvl="2" w:tplc="69660C4C">
      <w:numFmt w:val="decimal"/>
      <w:lvlText w:val=""/>
      <w:lvlJc w:val="left"/>
    </w:lvl>
    <w:lvl w:ilvl="3" w:tplc="0E4029CC">
      <w:numFmt w:val="decimal"/>
      <w:lvlText w:val=""/>
      <w:lvlJc w:val="left"/>
    </w:lvl>
    <w:lvl w:ilvl="4" w:tplc="BAC6CAF0">
      <w:numFmt w:val="decimal"/>
      <w:lvlText w:val=""/>
      <w:lvlJc w:val="left"/>
    </w:lvl>
    <w:lvl w:ilvl="5" w:tplc="087E3C6E">
      <w:numFmt w:val="decimal"/>
      <w:lvlText w:val=""/>
      <w:lvlJc w:val="left"/>
    </w:lvl>
    <w:lvl w:ilvl="6" w:tplc="D6FE54BE">
      <w:numFmt w:val="decimal"/>
      <w:lvlText w:val=""/>
      <w:lvlJc w:val="left"/>
    </w:lvl>
    <w:lvl w:ilvl="7" w:tplc="5D5619EC">
      <w:numFmt w:val="decimal"/>
      <w:lvlText w:val=""/>
      <w:lvlJc w:val="left"/>
    </w:lvl>
    <w:lvl w:ilvl="8" w:tplc="C09A7B02">
      <w:numFmt w:val="decimal"/>
      <w:lvlText w:val=""/>
      <w:lvlJc w:val="left"/>
    </w:lvl>
  </w:abstractNum>
  <w:num w:numId="1" w16cid:durableId="1656226481">
    <w:abstractNumId w:val="0"/>
    <w:lvlOverride w:ilvl="0">
      <w:startOverride w:val="1"/>
    </w:lvlOverride>
  </w:num>
  <w:num w:numId="2" w16cid:durableId="1796169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F49"/>
    <w:rsid w:val="005E7F49"/>
    <w:rsid w:val="00BD5CF5"/>
    <w:rsid w:val="00D33E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A6A1"/>
  <w15:docId w15:val="{84CC9233-C1C1-4EC1-B743-20BD6C22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60"/>
      <w:outlineLvl w:val="1"/>
    </w:pPr>
    <w:rPr>
      <w:rFonts w:ascii="Arial" w:eastAsia="Arial" w:hAnsi="Arial" w:cs="Arial"/>
      <w:b/>
      <w:bCs/>
      <w:sz w:val="28"/>
      <w:szCs w:val="28"/>
    </w:rPr>
  </w:style>
  <w:style w:type="paragraph" w:styleId="Heading3">
    <w:name w:val="heading 3"/>
    <w:uiPriority w:val="9"/>
    <w:unhideWhenUsed/>
    <w:qFormat/>
    <w:pPr>
      <w:spacing w:before="200" w:after="120"/>
      <w:outlineLvl w:val="2"/>
    </w:pPr>
    <w:rPr>
      <w:rFonts w:ascii="Arial" w:eastAsia="Arial" w:hAnsi="Arial" w:cs="Arial"/>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795</Words>
  <Characters>4537</Characters>
  <Application>Microsoft Office Word</Application>
  <DocSecurity>0</DocSecurity>
  <Lines>37</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Robin Bansal</cp:lastModifiedBy>
  <cp:revision>2</cp:revision>
  <dcterms:created xsi:type="dcterms:W3CDTF">2026-02-14T10:12:00Z</dcterms:created>
  <dcterms:modified xsi:type="dcterms:W3CDTF">2026-02-15T11:48:00Z</dcterms:modified>
</cp:coreProperties>
</file>