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Sales Performance Analysis</w:t>
      </w:r>
    </w:p>
    <w:p>
      <w:pPr>
        <w:spacing w:after="100"/>
        <w:jc w:val="center"/>
      </w:pPr>
      <w:r>
        <w:rPr>
          <w:i/>
          <w:iCs/>
          <w:color w:val="555555"/>
          <w:sz w:val="24"/>
          <w:szCs w:val="24"/>
        </w:rPr>
        <w:t xml:space="preserve">End-to-End Analysis Case Study — Week 4 Capstone Project</w:t>
      </w:r>
    </w:p>
    <w:p>
      <w:pPr>
        <w:spacing w:after="400"/>
        <w:jc w:val="center"/>
      </w:pPr>
      <w:r>
        <w:rPr>
          <w:color w:val="888888"/>
          <w:sz w:val="20"/>
          <w:szCs w:val="20"/>
        </w:rPr>
        <w:t xml:space="preserve">Prepared by Abhishek Raj  |  Data Analyst Course  |  19 August 2026</w:t>
      </w:r>
    </w:p>
    <w:p>
      <w:pPr>
        <w:pStyle w:val="Heading1"/>
        <w:spacing w:after="150" w:before="300"/>
      </w:pPr>
      <w:r>
        <w:t xml:space="preserve">1. Executive Summary</w:t>
      </w:r>
    </w:p>
    <w:p>
      <w:pPr>
        <w:spacing w:after="120"/>
      </w:pPr>
      <w:r>
        <w:t xml:space="preserve">This report analyzes 700 sales transactions spanning September 2013 to December 2014, covering five customer segments, five countries, and six products. The dataset was cleaned and validated in Python, analyzed with SQL and Pandas, and visualized in an interactive Power BI-style Excel dashboard. The goal is to surface actionable insights on where the business makes money, where it loses money, and how discounting is affecting profitability.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1F3864" w:val="clear"/>
            <w:tcMar>
              <w:top w:type="dxa" w:w="150"/>
              <w:left w:type="dxa" w:w="100"/>
              <w:bottom w:type="dxa" w:w="150"/>
              <w:right w:type="dxa" w:w="100"/>
            </w:tcMar>
          </w:tcPr>
          <w:p>
            <w:pPr>
              <w:jc w:val="center"/>
            </w:pPr>
            <w:r>
              <w:rPr>
                <w:b/>
                <w:bCs/>
                <w:color w:val="FFFFFF"/>
                <w:sz w:val="18"/>
                <w:szCs w:val="18"/>
              </w:rPr>
              <w:t xml:space="preserve">Total Sales</w:t>
            </w:r>
          </w:p>
          <w:p>
            <w:pPr>
              <w:jc w:val="center"/>
            </w:pPr>
            <w:r>
              <w:rPr>
                <w:b/>
                <w:bCs/>
                <w:color w:val="FFFFFF"/>
                <w:sz w:val="30"/>
                <w:szCs w:val="30"/>
              </w:rPr>
              <w:t xml:space="preserve">$118.7M</w:t>
            </w:r>
          </w:p>
        </w:tc>
        <w:tc>
          <w:tcPr>
            <w:tcW w:type="pct" w:w="25%"/>
            <w:shd w:fill="C99A2E" w:val="clear"/>
            <w:tcMar>
              <w:top w:type="dxa" w:w="150"/>
              <w:left w:type="dxa" w:w="100"/>
              <w:bottom w:type="dxa" w:w="150"/>
              <w:right w:type="dxa" w:w="100"/>
            </w:tcMar>
          </w:tcPr>
          <w:p>
            <w:pPr>
              <w:jc w:val="center"/>
            </w:pPr>
            <w:r>
              <w:rPr>
                <w:b/>
                <w:bCs/>
                <w:color w:val="FFFFFF"/>
                <w:sz w:val="18"/>
                <w:szCs w:val="18"/>
              </w:rPr>
              <w:t xml:space="preserve">Total Profit</w:t>
            </w:r>
          </w:p>
          <w:p>
            <w:pPr>
              <w:jc w:val="center"/>
            </w:pPr>
            <w:r>
              <w:rPr>
                <w:b/>
                <w:bCs/>
                <w:color w:val="FFFFFF"/>
                <w:sz w:val="30"/>
                <w:szCs w:val="30"/>
              </w:rPr>
              <w:t xml:space="preserve">$16.9M</w:t>
            </w:r>
          </w:p>
        </w:tc>
        <w:tc>
          <w:tcPr>
            <w:tcW w:type="pct" w:w="25%"/>
            <w:shd w:fill="1F3864" w:val="clear"/>
            <w:tcMar>
              <w:top w:type="dxa" w:w="150"/>
              <w:left w:type="dxa" w:w="100"/>
              <w:bottom w:type="dxa" w:w="150"/>
              <w:right w:type="dxa" w:w="100"/>
            </w:tcMar>
          </w:tcPr>
          <w:p>
            <w:pPr>
              <w:jc w:val="center"/>
            </w:pPr>
            <w:r>
              <w:rPr>
                <w:b/>
                <w:bCs/>
                <w:color w:val="FFFFFF"/>
                <w:sz w:val="18"/>
                <w:szCs w:val="18"/>
              </w:rPr>
              <w:t xml:space="preserve">Profit Margin</w:t>
            </w:r>
          </w:p>
          <w:p>
            <w:pPr>
              <w:jc w:val="center"/>
            </w:pPr>
            <w:r>
              <w:rPr>
                <w:b/>
                <w:bCs/>
                <w:color w:val="FFFFFF"/>
                <w:sz w:val="30"/>
                <w:szCs w:val="30"/>
              </w:rPr>
              <w:t xml:space="preserve">14.2%</w:t>
            </w:r>
          </w:p>
        </w:tc>
        <w:tc>
          <w:tcPr>
            <w:tcW w:type="pct" w:w="25%"/>
            <w:shd w:fill="C99A2E" w:val="clear"/>
            <w:tcMar>
              <w:top w:type="dxa" w:w="150"/>
              <w:left w:type="dxa" w:w="100"/>
              <w:bottom w:type="dxa" w:w="150"/>
              <w:right w:type="dxa" w:w="100"/>
            </w:tcMar>
          </w:tcPr>
          <w:p>
            <w:pPr>
              <w:jc w:val="center"/>
            </w:pPr>
            <w:r>
              <w:rPr>
                <w:b/>
                <w:bCs/>
                <w:color w:val="FFFFFF"/>
                <w:sz w:val="18"/>
                <w:szCs w:val="18"/>
              </w:rPr>
              <w:t xml:space="preserve">Transactions</w:t>
            </w:r>
          </w:p>
          <w:p>
            <w:pPr>
              <w:jc w:val="center"/>
            </w:pPr>
            <w:r>
              <w:rPr>
                <w:b/>
                <w:bCs/>
                <w:color w:val="FFFFFF"/>
                <w:sz w:val="30"/>
                <w:szCs w:val="30"/>
              </w:rPr>
              <w:t xml:space="preserve">700</w:t>
            </w:r>
          </w:p>
        </w:tc>
      </w:tr>
    </w:tbl>
    <w:p>
      <w:pPr>
        <w:spacing w:after="300"/>
      </w:pPr>
    </w:p>
    <w:p>
      <w:pPr>
        <w:pStyle w:val="Heading1"/>
        <w:spacing w:after="150" w:before="300"/>
      </w:pPr>
      <w:r>
        <w:t xml:space="preserve">2. Methodology</w:t>
      </w:r>
    </w:p>
    <w:p>
      <w:pPr>
        <w:pStyle w:val="ListParagraph"/>
        <w:numPr>
          <w:ilvl w:val="0"/>
          <w:numId w:val="1"/>
        </w:numPr>
        <w:spacing w:after="80"/>
      </w:pPr>
      <w:r>
        <w:t xml:space="preserve">Data Cleaning (Python/Pandas): standardized column names, filled 53 missing Discount Band values with 'No Discount' (these were transactions with $0 discount, not missing data), validated data types, and confirmed Sales and Profit tie out to source formulas with zero discrepancies.</w:t>
      </w:r>
    </w:p>
    <w:p>
      <w:pPr>
        <w:pStyle w:val="ListParagraph"/>
        <w:numPr>
          <w:ilvl w:val="0"/>
          <w:numId w:val="1"/>
        </w:numPr>
        <w:spacing w:after="80"/>
      </w:pPr>
      <w:r>
        <w:t xml:space="preserve">Analysis (SQL/SQLite + Pandas): ran grouped aggregation queries across Segment, Country, Product, Discount Band, and Month to quantify sales and profit contribution.</w:t>
      </w:r>
    </w:p>
    <w:p>
      <w:pPr>
        <w:pStyle w:val="ListParagraph"/>
        <w:numPr>
          <w:ilvl w:val="0"/>
          <w:numId w:val="1"/>
        </w:numPr>
        <w:spacing w:after="80"/>
      </w:pPr>
      <w:r>
        <w:t xml:space="preserve">Visualization (Excel + Power BI-style dashboard): built a formula-driven Excel dashboard (SUMIFS-based, so it recalculates automatically if new data is added) with KPI cards and four charts.</w:t>
      </w:r>
    </w:p>
    <w:p>
      <w:pPr>
        <w:pStyle w:val="ListParagraph"/>
        <w:numPr>
          <w:ilvl w:val="0"/>
          <w:numId w:val="1"/>
        </w:numPr>
        <w:spacing w:after="80"/>
      </w:pPr>
      <w:r>
        <w:t xml:space="preserve">Reporting: findings and recommendations compiled into this stakeholder-facing report.</w:t>
      </w:r>
    </w:p>
    <w:p>
      <w:pPr>
        <w:pStyle w:val="Heading1"/>
        <w:spacing w:after="150" w:before="300"/>
      </w:pPr>
      <w:r>
        <w:t xml:space="preserve">3. Key Findings</w:t>
      </w:r>
    </w:p>
    <w:p>
      <w:pPr>
        <w:pStyle w:val="Heading2"/>
        <w:spacing w:after="100" w:before="200"/>
      </w:pPr>
      <w:r>
        <w:t xml:space="preserve">3.1 Profit by Segment — Enterprise is losing money</w:t>
      </w:r>
    </w:p>
    <w:p>
      <w:pPr>
        <w:jc w:val="center"/>
      </w:pPr>
      <w:r>
        <w:drawing>
          <wp:inline distT="0" distB="0" distL="0" distR="0">
            <wp:extent cx="523875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2990850"/>
                    </a:xfrm>
                    <a:prstGeom prst="rect">
                      <a:avLst/>
                    </a:prstGeom>
                  </pic:spPr>
                </pic:pic>
              </a:graphicData>
            </a:graphic>
          </wp:inline>
        </w:drawing>
      </w:r>
    </w:p>
    <w:p>
      <w:pPr>
        <w:spacing w:after="200"/>
        <w:jc w:val="center"/>
      </w:pPr>
      <w:r>
        <w:rPr>
          <w:i/>
          <w:iCs/>
          <w:color w:val="666666"/>
          <w:sz w:val="18"/>
          <w:szCs w:val="18"/>
        </w:rPr>
        <w:t xml:space="preserve">Figure 1: Total profit by customer segment</w:t>
      </w:r>
    </w:p>
    <w:p>
      <w:pPr>
        <w:spacing w:after="120"/>
      </w:pPr>
      <w:r>
        <w:t xml:space="preserve">Government is the strongest segment, generating $11.4M profit at a 21.7% margin on $52.5M of sales. Channel Partners has the highest margin at 73.1%, though on a small revenue base. The Enterprise segment is the standout concern: it posted $19.6M in sales but a net loss of -$614K (-3.1% margin) — every single loss-making transaction in the dataset (57 of them) belongs to this segment.</w:t>
      </w:r>
    </w:p>
    <w:p>
      <w:pPr>
        <w:pStyle w:val="Heading2"/>
        <w:spacing w:after="100" w:before="200"/>
      </w:pPr>
      <w:r>
        <w:t xml:space="preserve">3.2 Country Performance — broadly balanced</w:t>
      </w:r>
    </w:p>
    <w:p>
      <w:pPr>
        <w:spacing w:after="120"/>
      </w:pPr>
      <w:r>
        <w:t xml:space="preserve">Sales are fairly evenly spread across the five markets ($21M–$25M each), with France (16.1% margin) and Germany (15.7% margin) slightly outperforming the United States (12.0% margin) despite similar sales volumes.</w:t>
      </w:r>
    </w:p>
    <w:p>
      <w:pPr>
        <w:pStyle w:val="Heading2"/>
        <w:spacing w:after="100" w:before="200"/>
      </w:pPr>
      <w:r>
        <w:t xml:space="preserve">3.3 Monthly Trend — strong seasonal peaks</w:t>
      </w:r>
    </w:p>
    <w:p>
      <w:pPr>
        <w:jc w:val="center"/>
      </w:pPr>
      <w:r>
        <w:drawing>
          <wp:inline distT="0" distB="0" distL="0" distR="0">
            <wp:extent cx="523875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2324100"/>
                    </a:xfrm>
                    <a:prstGeom prst="rect">
                      <a:avLst/>
                    </a:prstGeom>
                  </pic:spPr>
                </pic:pic>
              </a:graphicData>
            </a:graphic>
          </wp:inline>
        </w:drawing>
      </w:r>
    </w:p>
    <w:p>
      <w:pPr>
        <w:spacing w:after="200"/>
        <w:jc w:val="center"/>
      </w:pPr>
      <w:r>
        <w:rPr>
          <w:i/>
          <w:iCs/>
          <w:color w:val="666666"/>
          <w:sz w:val="18"/>
          <w:szCs w:val="18"/>
        </w:rPr>
        <w:t xml:space="preserve">Figure 2: Sales and profit trend, Sep 2013 – Dec 2014</w:t>
      </w:r>
    </w:p>
    <w:p>
      <w:pPr>
        <w:spacing w:after="120"/>
      </w:pPr>
      <w:r>
        <w:t xml:space="preserve">Sales peak sharply in October and December of both years (Oct 2014: $12.4M, Dec 2014: $12.0M), consistent with year-end/holiday purchasing or budget-cycle buying common in Government and Enterprise accounts. March, May, and November are comparatively soft months.</w:t>
      </w:r>
    </w:p>
    <w:p>
      <w:pPr>
        <w:pStyle w:val="Heading2"/>
        <w:spacing w:after="100" w:before="200"/>
      </w:pPr>
      <w:r>
        <w:t xml:space="preserve">3.4 Discounting — heavy discounts compress margin</w:t>
      </w:r>
    </w:p>
    <w:p>
      <w:pPr>
        <w:jc w:val="center"/>
      </w:pPr>
      <w:r>
        <w:drawing>
          <wp:inline distT="0" distB="0" distL="0" distR="0">
            <wp:extent cx="3810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543175"/>
                    </a:xfrm>
                    <a:prstGeom prst="rect">
                      <a:avLst/>
                    </a:prstGeom>
                  </pic:spPr>
                </pic:pic>
              </a:graphicData>
            </a:graphic>
          </wp:inline>
        </w:drawing>
      </w:r>
    </w:p>
    <w:p>
      <w:pPr>
        <w:spacing w:after="200"/>
        <w:jc w:val="center"/>
      </w:pPr>
      <w:r>
        <w:rPr>
          <w:i/>
          <w:iCs/>
          <w:color w:val="666666"/>
          <w:sz w:val="18"/>
          <w:szCs w:val="18"/>
        </w:rPr>
        <w:t xml:space="preserve">Figure 3: Average profit margin by discount band</w:t>
      </w:r>
    </w:p>
    <w:p>
      <w:pPr>
        <w:spacing w:after="120"/>
      </w:pPr>
      <w:r>
        <w:t xml:space="preserve">There is a clear, consistent pattern: margin erodes as discount depth increases. No-discount orders average a 37.3% margin; that falls to 28.8% at Low discount, 28.7% at Medium, and drops to 24.5% at High discount (avg. 12.5% off). High-discount orders make up 35% of all transactions but contribute a disproportionately smaller share of profit.</w:t>
      </w:r>
    </w:p>
    <w:p>
      <w:pPr>
        <w:pStyle w:val="Heading2"/>
        <w:spacing w:after="100" w:before="200"/>
      </w:pPr>
      <w:r>
        <w:t xml:space="preserve">3.5 Product Mix</w:t>
      </w:r>
    </w:p>
    <w:p>
      <w:pPr>
        <w:jc w:val="center"/>
      </w:pPr>
      <w:r>
        <w:drawing>
          <wp:inline distT="0" distB="0" distL="0" distR="0">
            <wp:extent cx="3810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3171825"/>
                    </a:xfrm>
                    <a:prstGeom prst="rect">
                      <a:avLst/>
                    </a:prstGeom>
                  </pic:spPr>
                </pic:pic>
              </a:graphicData>
            </a:graphic>
          </wp:inline>
        </w:drawing>
      </w:r>
    </w:p>
    <w:p>
      <w:pPr>
        <w:spacing w:after="200"/>
        <w:jc w:val="center"/>
      </w:pPr>
      <w:r>
        <w:rPr>
          <w:i/>
          <w:iCs/>
          <w:color w:val="666666"/>
          <w:sz w:val="18"/>
          <w:szCs w:val="18"/>
        </w:rPr>
        <w:t xml:space="preserve">Figure 4: Sales mix by product</w:t>
      </w:r>
    </w:p>
    <w:p>
      <w:pPr>
        <w:spacing w:after="120"/>
      </w:pPr>
      <w:r>
        <w:t xml:space="preserve">Paseo is the top performer by both volume and profit ($4.8M profit, 338K units sold), followed by VTT and Amarilla. Carretera is the weakest product on profit contribution despite reasonable unit sales, suggesting pricing or cost pressure on that line.</w:t>
      </w:r>
    </w:p>
    <w:p>
      <w:pPr>
        <w:pStyle w:val="Heading1"/>
        <w:spacing w:after="150" w:before="300"/>
      </w:pPr>
      <w:r>
        <w:t xml:space="preserve">4. Supporting Data</w:t>
      </w:r>
    </w:p>
    <w:p>
      <w:pPr>
        <w:pStyle w:val="Heading2"/>
        <w:spacing w:after="100" w:before="200"/>
      </w:pPr>
      <w:r>
        <w:t xml:space="preserve">4.1 Profit by Segment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F3864" w:val="clear"/>
            <w:tcMar>
              <w:top w:type="dxa" w:w="80"/>
              <w:left w:type="dxa" w:w="100"/>
              <w:bottom w:type="dxa" w:w="80"/>
              <w:right w:type="dxa" w:w="100"/>
            </w:tcMar>
          </w:tcPr>
          <w:p>
            <w:r>
              <w:rPr>
                <w:b/>
                <w:bCs/>
                <w:color w:val="FFFFFF"/>
                <w:sz w:val="20"/>
                <w:szCs w:val="20"/>
              </w:rPr>
              <w:t xml:space="preserve">Segment</w:t>
            </w:r>
          </w:p>
        </w:tc>
        <w:tc>
          <w:tcPr>
            <w:shd w:fill="1F3864" w:val="clear"/>
            <w:tcMar>
              <w:top w:type="dxa" w:w="80"/>
              <w:left w:type="dxa" w:w="100"/>
              <w:bottom w:type="dxa" w:w="80"/>
              <w:right w:type="dxa" w:w="100"/>
            </w:tcMar>
          </w:tcPr>
          <w:p>
            <w:r>
              <w:rPr>
                <w:b/>
                <w:bCs/>
                <w:color w:val="FFFFFF"/>
                <w:sz w:val="20"/>
                <w:szCs w:val="20"/>
              </w:rPr>
              <w:t xml:space="preserve">Total Sales</w:t>
            </w:r>
          </w:p>
        </w:tc>
        <w:tc>
          <w:tcPr>
            <w:shd w:fill="1F3864" w:val="clear"/>
            <w:tcMar>
              <w:top w:type="dxa" w:w="80"/>
              <w:left w:type="dxa" w:w="100"/>
              <w:bottom w:type="dxa" w:w="80"/>
              <w:right w:type="dxa" w:w="100"/>
            </w:tcMar>
          </w:tcPr>
          <w:p>
            <w:r>
              <w:rPr>
                <w:b/>
                <w:bCs/>
                <w:color w:val="FFFFFF"/>
                <w:sz w:val="20"/>
                <w:szCs w:val="20"/>
              </w:rPr>
              <w:t xml:space="preserve">Total Profit</w:t>
            </w:r>
          </w:p>
        </w:tc>
        <w:tc>
          <w:tcPr>
            <w:shd w:fill="1F3864" w:val="clear"/>
            <w:tcMar>
              <w:top w:type="dxa" w:w="80"/>
              <w:left w:type="dxa" w:w="100"/>
              <w:bottom w:type="dxa" w:w="80"/>
              <w:right w:type="dxa" w:w="100"/>
            </w:tcMar>
          </w:tcPr>
          <w:p>
            <w:r>
              <w:rPr>
                <w:b/>
                <w:bCs/>
                <w:color w:val="FFFFFF"/>
                <w:sz w:val="20"/>
                <w:szCs w:val="20"/>
              </w:rPr>
              <w:t xml:space="preserve">Margin</w:t>
            </w:r>
          </w:p>
        </w:tc>
      </w:tr>
      <w:tr>
        <w:tc>
          <w:tcPr>
            <w:shd w:fill="FFFFFF" w:val="clear"/>
            <w:tcMar>
              <w:top w:type="dxa" w:w="60"/>
              <w:left w:type="dxa" w:w="100"/>
              <w:bottom w:type="dxa" w:w="60"/>
              <w:right w:type="dxa" w:w="100"/>
            </w:tcMar>
          </w:tcPr>
          <w:p>
            <w:r>
              <w:rPr>
                <w:sz w:val="20"/>
                <w:szCs w:val="20"/>
              </w:rPr>
              <w:t xml:space="preserve">Government</w:t>
            </w:r>
          </w:p>
        </w:tc>
        <w:tc>
          <w:tcPr>
            <w:shd w:fill="FFFFFF" w:val="clear"/>
            <w:tcMar>
              <w:top w:type="dxa" w:w="60"/>
              <w:left w:type="dxa" w:w="100"/>
              <w:bottom w:type="dxa" w:w="60"/>
              <w:right w:type="dxa" w:w="100"/>
            </w:tcMar>
          </w:tcPr>
          <w:p>
            <w:r>
              <w:rPr>
                <w:sz w:val="20"/>
                <w:szCs w:val="20"/>
              </w:rPr>
              <w:t xml:space="preserve">$52,504,261</w:t>
            </w:r>
          </w:p>
        </w:tc>
        <w:tc>
          <w:tcPr>
            <w:shd w:fill="FFFFFF" w:val="clear"/>
            <w:tcMar>
              <w:top w:type="dxa" w:w="60"/>
              <w:left w:type="dxa" w:w="100"/>
              <w:bottom w:type="dxa" w:w="60"/>
              <w:right w:type="dxa" w:w="100"/>
            </w:tcMar>
          </w:tcPr>
          <w:p>
            <w:r>
              <w:rPr>
                <w:sz w:val="20"/>
                <w:szCs w:val="20"/>
              </w:rPr>
              <w:t xml:space="preserve">$11,388,173</w:t>
            </w:r>
          </w:p>
        </w:tc>
        <w:tc>
          <w:tcPr>
            <w:shd w:fill="FFFFFF" w:val="clear"/>
            <w:tcMar>
              <w:top w:type="dxa" w:w="60"/>
              <w:left w:type="dxa" w:w="100"/>
              <w:bottom w:type="dxa" w:w="60"/>
              <w:right w:type="dxa" w:w="100"/>
            </w:tcMar>
          </w:tcPr>
          <w:p>
            <w:r>
              <w:rPr>
                <w:sz w:val="20"/>
                <w:szCs w:val="20"/>
              </w:rPr>
              <w:t xml:space="preserve">21.7%</w:t>
            </w:r>
          </w:p>
        </w:tc>
      </w:tr>
      <w:tr>
        <w:tc>
          <w:tcPr>
            <w:shd w:fill="F2F2F2" w:val="clear"/>
            <w:tcMar>
              <w:top w:type="dxa" w:w="60"/>
              <w:left w:type="dxa" w:w="100"/>
              <w:bottom w:type="dxa" w:w="60"/>
              <w:right w:type="dxa" w:w="100"/>
            </w:tcMar>
          </w:tcPr>
          <w:p>
            <w:r>
              <w:rPr>
                <w:sz w:val="20"/>
                <w:szCs w:val="20"/>
              </w:rPr>
              <w:t xml:space="preserve">Small Business</w:t>
            </w:r>
          </w:p>
        </w:tc>
        <w:tc>
          <w:tcPr>
            <w:shd w:fill="F2F2F2" w:val="clear"/>
            <w:tcMar>
              <w:top w:type="dxa" w:w="60"/>
              <w:left w:type="dxa" w:w="100"/>
              <w:bottom w:type="dxa" w:w="60"/>
              <w:right w:type="dxa" w:w="100"/>
            </w:tcMar>
          </w:tcPr>
          <w:p>
            <w:r>
              <w:rPr>
                <w:sz w:val="20"/>
                <w:szCs w:val="20"/>
              </w:rPr>
              <w:t xml:space="preserve">$42,427,919</w:t>
            </w:r>
          </w:p>
        </w:tc>
        <w:tc>
          <w:tcPr>
            <w:shd w:fill="F2F2F2" w:val="clear"/>
            <w:tcMar>
              <w:top w:type="dxa" w:w="60"/>
              <w:left w:type="dxa" w:w="100"/>
              <w:bottom w:type="dxa" w:w="60"/>
              <w:right w:type="dxa" w:w="100"/>
            </w:tcMar>
          </w:tcPr>
          <w:p>
            <w:r>
              <w:rPr>
                <w:sz w:val="20"/>
                <w:szCs w:val="20"/>
              </w:rPr>
              <w:t xml:space="preserve">$4,143,169</w:t>
            </w:r>
          </w:p>
        </w:tc>
        <w:tc>
          <w:tcPr>
            <w:shd w:fill="F2F2F2" w:val="clear"/>
            <w:tcMar>
              <w:top w:type="dxa" w:w="60"/>
              <w:left w:type="dxa" w:w="100"/>
              <w:bottom w:type="dxa" w:w="60"/>
              <w:right w:type="dxa" w:w="100"/>
            </w:tcMar>
          </w:tcPr>
          <w:p>
            <w:r>
              <w:rPr>
                <w:sz w:val="20"/>
                <w:szCs w:val="20"/>
              </w:rPr>
              <w:t xml:space="preserve">9.8%</w:t>
            </w:r>
          </w:p>
        </w:tc>
      </w:tr>
      <w:tr>
        <w:tc>
          <w:tcPr>
            <w:shd w:fill="FFFFFF" w:val="clear"/>
            <w:tcMar>
              <w:top w:type="dxa" w:w="60"/>
              <w:left w:type="dxa" w:w="100"/>
              <w:bottom w:type="dxa" w:w="60"/>
              <w:right w:type="dxa" w:w="100"/>
            </w:tcMar>
          </w:tcPr>
          <w:p>
            <w:r>
              <w:rPr>
                <w:sz w:val="20"/>
                <w:szCs w:val="20"/>
              </w:rPr>
              <w:t xml:space="preserve">Enterprise</w:t>
            </w:r>
          </w:p>
        </w:tc>
        <w:tc>
          <w:tcPr>
            <w:shd w:fill="FFFFFF" w:val="clear"/>
            <w:tcMar>
              <w:top w:type="dxa" w:w="60"/>
              <w:left w:type="dxa" w:w="100"/>
              <w:bottom w:type="dxa" w:w="60"/>
              <w:right w:type="dxa" w:w="100"/>
            </w:tcMar>
          </w:tcPr>
          <w:p>
            <w:r>
              <w:rPr>
                <w:sz w:val="20"/>
                <w:szCs w:val="20"/>
              </w:rPr>
              <w:t xml:space="preserve">$19,611,694</w:t>
            </w:r>
          </w:p>
        </w:tc>
        <w:tc>
          <w:tcPr>
            <w:shd w:fill="FFFFFF" w:val="clear"/>
            <w:tcMar>
              <w:top w:type="dxa" w:w="60"/>
              <w:left w:type="dxa" w:w="100"/>
              <w:bottom w:type="dxa" w:w="60"/>
              <w:right w:type="dxa" w:w="100"/>
            </w:tcMar>
          </w:tcPr>
          <w:p>
            <w:r>
              <w:rPr>
                <w:sz w:val="20"/>
                <w:szCs w:val="20"/>
              </w:rPr>
              <w:t xml:space="preserve">-$614,546</w:t>
            </w:r>
          </w:p>
        </w:tc>
        <w:tc>
          <w:tcPr>
            <w:shd w:fill="FFFFFF" w:val="clear"/>
            <w:tcMar>
              <w:top w:type="dxa" w:w="60"/>
              <w:left w:type="dxa" w:w="100"/>
              <w:bottom w:type="dxa" w:w="60"/>
              <w:right w:type="dxa" w:w="100"/>
            </w:tcMar>
          </w:tcPr>
          <w:p>
            <w:r>
              <w:rPr>
                <w:sz w:val="20"/>
                <w:szCs w:val="20"/>
              </w:rPr>
              <w:t xml:space="preserve">-3.1%</w:t>
            </w:r>
          </w:p>
        </w:tc>
      </w:tr>
      <w:tr>
        <w:tc>
          <w:tcPr>
            <w:shd w:fill="F2F2F2" w:val="clear"/>
            <w:tcMar>
              <w:top w:type="dxa" w:w="60"/>
              <w:left w:type="dxa" w:w="100"/>
              <w:bottom w:type="dxa" w:w="60"/>
              <w:right w:type="dxa" w:w="100"/>
            </w:tcMar>
          </w:tcPr>
          <w:p>
            <w:r>
              <w:rPr>
                <w:sz w:val="20"/>
                <w:szCs w:val="20"/>
              </w:rPr>
              <w:t xml:space="preserve">Midmarket</w:t>
            </w:r>
          </w:p>
        </w:tc>
        <w:tc>
          <w:tcPr>
            <w:shd w:fill="F2F2F2" w:val="clear"/>
            <w:tcMar>
              <w:top w:type="dxa" w:w="60"/>
              <w:left w:type="dxa" w:w="100"/>
              <w:bottom w:type="dxa" w:w="60"/>
              <w:right w:type="dxa" w:w="100"/>
            </w:tcMar>
          </w:tcPr>
          <w:p>
            <w:r>
              <w:rPr>
                <w:sz w:val="20"/>
                <w:szCs w:val="20"/>
              </w:rPr>
              <w:t xml:space="preserve">$2,381,883</w:t>
            </w:r>
          </w:p>
        </w:tc>
        <w:tc>
          <w:tcPr>
            <w:shd w:fill="F2F2F2" w:val="clear"/>
            <w:tcMar>
              <w:top w:type="dxa" w:w="60"/>
              <w:left w:type="dxa" w:w="100"/>
              <w:bottom w:type="dxa" w:w="60"/>
              <w:right w:type="dxa" w:w="100"/>
            </w:tcMar>
          </w:tcPr>
          <w:p>
            <w:r>
              <w:rPr>
                <w:sz w:val="20"/>
                <w:szCs w:val="20"/>
              </w:rPr>
              <w:t xml:space="preserve">$660,103</w:t>
            </w:r>
          </w:p>
        </w:tc>
        <w:tc>
          <w:tcPr>
            <w:shd w:fill="F2F2F2" w:val="clear"/>
            <w:tcMar>
              <w:top w:type="dxa" w:w="60"/>
              <w:left w:type="dxa" w:w="100"/>
              <w:bottom w:type="dxa" w:w="60"/>
              <w:right w:type="dxa" w:w="100"/>
            </w:tcMar>
          </w:tcPr>
          <w:p>
            <w:r>
              <w:rPr>
                <w:sz w:val="20"/>
                <w:szCs w:val="20"/>
              </w:rPr>
              <w:t xml:space="preserve">27.7%</w:t>
            </w:r>
          </w:p>
        </w:tc>
      </w:tr>
      <w:tr>
        <w:tc>
          <w:tcPr>
            <w:shd w:fill="FFFFFF" w:val="clear"/>
            <w:tcMar>
              <w:top w:type="dxa" w:w="60"/>
              <w:left w:type="dxa" w:w="100"/>
              <w:bottom w:type="dxa" w:w="60"/>
              <w:right w:type="dxa" w:w="100"/>
            </w:tcMar>
          </w:tcPr>
          <w:p>
            <w:r>
              <w:rPr>
                <w:sz w:val="20"/>
                <w:szCs w:val="20"/>
              </w:rPr>
              <w:t xml:space="preserve">Channel Partners</w:t>
            </w:r>
          </w:p>
        </w:tc>
        <w:tc>
          <w:tcPr>
            <w:shd w:fill="FFFFFF" w:val="clear"/>
            <w:tcMar>
              <w:top w:type="dxa" w:w="60"/>
              <w:left w:type="dxa" w:w="100"/>
              <w:bottom w:type="dxa" w:w="60"/>
              <w:right w:type="dxa" w:w="100"/>
            </w:tcMar>
          </w:tcPr>
          <w:p>
            <w:r>
              <w:rPr>
                <w:sz w:val="20"/>
                <w:szCs w:val="20"/>
              </w:rPr>
              <w:t xml:space="preserve">$1,800,594</w:t>
            </w:r>
          </w:p>
        </w:tc>
        <w:tc>
          <w:tcPr>
            <w:shd w:fill="FFFFFF" w:val="clear"/>
            <w:tcMar>
              <w:top w:type="dxa" w:w="60"/>
              <w:left w:type="dxa" w:w="100"/>
              <w:bottom w:type="dxa" w:w="60"/>
              <w:right w:type="dxa" w:w="100"/>
            </w:tcMar>
          </w:tcPr>
          <w:p>
            <w:r>
              <w:rPr>
                <w:sz w:val="20"/>
                <w:szCs w:val="20"/>
              </w:rPr>
              <w:t xml:space="preserve">$1,316,803</w:t>
            </w:r>
          </w:p>
        </w:tc>
        <w:tc>
          <w:tcPr>
            <w:shd w:fill="FFFFFF" w:val="clear"/>
            <w:tcMar>
              <w:top w:type="dxa" w:w="60"/>
              <w:left w:type="dxa" w:w="100"/>
              <w:bottom w:type="dxa" w:w="60"/>
              <w:right w:type="dxa" w:w="100"/>
            </w:tcMar>
          </w:tcPr>
          <w:p>
            <w:r>
              <w:rPr>
                <w:sz w:val="20"/>
                <w:szCs w:val="20"/>
              </w:rPr>
              <w:t xml:space="preserve">73.1%</w:t>
            </w:r>
          </w:p>
        </w:tc>
      </w:tr>
    </w:tbl>
    <w:p>
      <w:pPr>
        <w:spacing w:after="200"/>
      </w:pPr>
    </w:p>
    <w:p>
      <w:pPr>
        <w:pStyle w:val="Heading2"/>
        <w:spacing w:after="100" w:before="200"/>
      </w:pPr>
      <w:r>
        <w:t xml:space="preserve">4.2 Discount Band Impact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F3864" w:val="clear"/>
            <w:tcMar>
              <w:top w:type="dxa" w:w="80"/>
              <w:left w:type="dxa" w:w="100"/>
              <w:bottom w:type="dxa" w:w="80"/>
              <w:right w:type="dxa" w:w="100"/>
            </w:tcMar>
          </w:tcPr>
          <w:p>
            <w:r>
              <w:rPr>
                <w:b/>
                <w:bCs/>
                <w:color w:val="FFFFFF"/>
                <w:sz w:val="20"/>
                <w:szCs w:val="20"/>
              </w:rPr>
              <w:t xml:space="preserve">Discount Band</w:t>
            </w:r>
          </w:p>
        </w:tc>
        <w:tc>
          <w:tcPr>
            <w:shd w:fill="1F3864" w:val="clear"/>
            <w:tcMar>
              <w:top w:type="dxa" w:w="80"/>
              <w:left w:type="dxa" w:w="100"/>
              <w:bottom w:type="dxa" w:w="80"/>
              <w:right w:type="dxa" w:w="100"/>
            </w:tcMar>
          </w:tcPr>
          <w:p>
            <w:r>
              <w:rPr>
                <w:b/>
                <w:bCs/>
                <w:color w:val="FFFFFF"/>
                <w:sz w:val="20"/>
                <w:szCs w:val="20"/>
              </w:rPr>
              <w:t xml:space="preserve">Orders</w:t>
            </w:r>
          </w:p>
        </w:tc>
        <w:tc>
          <w:tcPr>
            <w:shd w:fill="1F3864" w:val="clear"/>
            <w:tcMar>
              <w:top w:type="dxa" w:w="80"/>
              <w:left w:type="dxa" w:w="100"/>
              <w:bottom w:type="dxa" w:w="80"/>
              <w:right w:type="dxa" w:w="100"/>
            </w:tcMar>
          </w:tcPr>
          <w:p>
            <w:r>
              <w:rPr>
                <w:b/>
                <w:bCs/>
                <w:color w:val="FFFFFF"/>
                <w:sz w:val="20"/>
                <w:szCs w:val="20"/>
              </w:rPr>
              <w:t xml:space="preserve">Avg Discount %</w:t>
            </w:r>
          </w:p>
        </w:tc>
        <w:tc>
          <w:tcPr>
            <w:shd w:fill="1F3864" w:val="clear"/>
            <w:tcMar>
              <w:top w:type="dxa" w:w="80"/>
              <w:left w:type="dxa" w:w="100"/>
              <w:bottom w:type="dxa" w:w="80"/>
              <w:right w:type="dxa" w:w="100"/>
            </w:tcMar>
          </w:tcPr>
          <w:p>
            <w:r>
              <w:rPr>
                <w:b/>
                <w:bCs/>
                <w:color w:val="FFFFFF"/>
                <w:sz w:val="20"/>
                <w:szCs w:val="20"/>
              </w:rPr>
              <w:t xml:space="preserve">Total Profit</w:t>
            </w:r>
          </w:p>
        </w:tc>
        <w:tc>
          <w:tcPr>
            <w:shd w:fill="1F3864" w:val="clear"/>
            <w:tcMar>
              <w:top w:type="dxa" w:w="80"/>
              <w:left w:type="dxa" w:w="100"/>
              <w:bottom w:type="dxa" w:w="80"/>
              <w:right w:type="dxa" w:w="100"/>
            </w:tcMar>
          </w:tcPr>
          <w:p>
            <w:r>
              <w:rPr>
                <w:b/>
                <w:bCs/>
                <w:color w:val="FFFFFF"/>
                <w:sz w:val="20"/>
                <w:szCs w:val="20"/>
              </w:rPr>
              <w:t xml:space="preserve">Avg Margin %</w:t>
            </w:r>
          </w:p>
        </w:tc>
      </w:tr>
      <w:tr>
        <w:tc>
          <w:tcPr>
            <w:shd w:fill="FFFFFF" w:val="clear"/>
            <w:tcMar>
              <w:top w:type="dxa" w:w="60"/>
              <w:left w:type="dxa" w:w="100"/>
              <w:bottom w:type="dxa" w:w="60"/>
              <w:right w:type="dxa" w:w="100"/>
            </w:tcMar>
          </w:tcPr>
          <w:p>
            <w:r>
              <w:rPr>
                <w:sz w:val="20"/>
                <w:szCs w:val="20"/>
              </w:rPr>
              <w:t xml:space="preserve">No Discount</w:t>
            </w:r>
          </w:p>
        </w:tc>
        <w:tc>
          <w:tcPr>
            <w:shd w:fill="FFFFFF" w:val="clear"/>
            <w:tcMar>
              <w:top w:type="dxa" w:w="60"/>
              <w:left w:type="dxa" w:w="100"/>
              <w:bottom w:type="dxa" w:w="60"/>
              <w:right w:type="dxa" w:w="100"/>
            </w:tcMar>
          </w:tcPr>
          <w:p>
            <w:r>
              <w:rPr>
                <w:sz w:val="20"/>
                <w:szCs w:val="20"/>
              </w:rPr>
              <w:t xml:space="preserve">53</w:t>
            </w:r>
          </w:p>
        </w:tc>
        <w:tc>
          <w:tcPr>
            <w:shd w:fill="FFFFFF" w:val="clear"/>
            <w:tcMar>
              <w:top w:type="dxa" w:w="60"/>
              <w:left w:type="dxa" w:w="100"/>
              <w:bottom w:type="dxa" w:w="60"/>
              <w:right w:type="dxa" w:w="100"/>
            </w:tcMar>
          </w:tcPr>
          <w:p>
            <w:r>
              <w:rPr>
                <w:sz w:val="20"/>
                <w:szCs w:val="20"/>
              </w:rPr>
              <w:t xml:space="preserve">0.0%</w:t>
            </w:r>
          </w:p>
        </w:tc>
        <w:tc>
          <w:tcPr>
            <w:shd w:fill="FFFFFF" w:val="clear"/>
            <w:tcMar>
              <w:top w:type="dxa" w:w="60"/>
              <w:left w:type="dxa" w:w="100"/>
              <w:bottom w:type="dxa" w:w="60"/>
              <w:right w:type="dxa" w:w="100"/>
            </w:tcMar>
          </w:tcPr>
          <w:p>
            <w:r>
              <w:rPr>
                <w:sz w:val="20"/>
                <w:szCs w:val="20"/>
              </w:rPr>
              <w:t xml:space="preserve">$1,736,455</w:t>
            </w:r>
          </w:p>
        </w:tc>
        <w:tc>
          <w:tcPr>
            <w:shd w:fill="FFFFFF" w:val="clear"/>
            <w:tcMar>
              <w:top w:type="dxa" w:w="60"/>
              <w:left w:type="dxa" w:w="100"/>
              <w:bottom w:type="dxa" w:w="60"/>
              <w:right w:type="dxa" w:w="100"/>
            </w:tcMar>
          </w:tcPr>
          <w:p>
            <w:r>
              <w:rPr>
                <w:sz w:val="20"/>
                <w:szCs w:val="20"/>
              </w:rPr>
              <w:t xml:space="preserve">37.3%</w:t>
            </w:r>
          </w:p>
        </w:tc>
      </w:tr>
      <w:tr>
        <w:tc>
          <w:tcPr>
            <w:shd w:fill="F2F2F2" w:val="clear"/>
            <w:tcMar>
              <w:top w:type="dxa" w:w="60"/>
              <w:left w:type="dxa" w:w="100"/>
              <w:bottom w:type="dxa" w:w="60"/>
              <w:right w:type="dxa" w:w="100"/>
            </w:tcMar>
          </w:tcPr>
          <w:p>
            <w:r>
              <w:rPr>
                <w:sz w:val="20"/>
                <w:szCs w:val="20"/>
              </w:rPr>
              <w:t xml:space="preserve">Low</w:t>
            </w:r>
          </w:p>
        </w:tc>
        <w:tc>
          <w:tcPr>
            <w:shd w:fill="F2F2F2" w:val="clear"/>
            <w:tcMar>
              <w:top w:type="dxa" w:w="60"/>
              <w:left w:type="dxa" w:w="100"/>
              <w:bottom w:type="dxa" w:w="60"/>
              <w:right w:type="dxa" w:w="100"/>
            </w:tcMar>
          </w:tcPr>
          <w:p>
            <w:r>
              <w:rPr>
                <w:sz w:val="20"/>
                <w:szCs w:val="20"/>
              </w:rPr>
              <w:t xml:space="preserve">160</w:t>
            </w:r>
          </w:p>
        </w:tc>
        <w:tc>
          <w:tcPr>
            <w:shd w:fill="F2F2F2" w:val="clear"/>
            <w:tcMar>
              <w:top w:type="dxa" w:w="60"/>
              <w:left w:type="dxa" w:w="100"/>
              <w:bottom w:type="dxa" w:w="60"/>
              <w:right w:type="dxa" w:w="100"/>
            </w:tcMar>
          </w:tcPr>
          <w:p>
            <w:r>
              <w:rPr>
                <w:sz w:val="20"/>
                <w:szCs w:val="20"/>
              </w:rPr>
              <w:t xml:space="preserve">2.4%</w:t>
            </w:r>
          </w:p>
        </w:tc>
        <w:tc>
          <w:tcPr>
            <w:shd w:fill="F2F2F2" w:val="clear"/>
            <w:tcMar>
              <w:top w:type="dxa" w:w="60"/>
              <w:left w:type="dxa" w:w="100"/>
              <w:bottom w:type="dxa" w:w="60"/>
              <w:right w:type="dxa" w:w="100"/>
            </w:tcMar>
          </w:tcPr>
          <w:p>
            <w:r>
              <w:rPr>
                <w:sz w:val="20"/>
                <w:szCs w:val="20"/>
              </w:rPr>
              <w:t xml:space="preserve">$6,188,858</w:t>
            </w:r>
          </w:p>
        </w:tc>
        <w:tc>
          <w:tcPr>
            <w:shd w:fill="F2F2F2" w:val="clear"/>
            <w:tcMar>
              <w:top w:type="dxa" w:w="60"/>
              <w:left w:type="dxa" w:w="100"/>
              <w:bottom w:type="dxa" w:w="60"/>
              <w:right w:type="dxa" w:w="100"/>
            </w:tcMar>
          </w:tcPr>
          <w:p>
            <w:r>
              <w:rPr>
                <w:sz w:val="20"/>
                <w:szCs w:val="20"/>
              </w:rPr>
              <w:t xml:space="preserve">28.8%</w:t>
            </w:r>
          </w:p>
        </w:tc>
      </w:tr>
      <w:tr>
        <w:tc>
          <w:tcPr>
            <w:shd w:fill="FFFFFF" w:val="clear"/>
            <w:tcMar>
              <w:top w:type="dxa" w:w="60"/>
              <w:left w:type="dxa" w:w="100"/>
              <w:bottom w:type="dxa" w:w="60"/>
              <w:right w:type="dxa" w:w="100"/>
            </w:tcMar>
          </w:tcPr>
          <w:p>
            <w:r>
              <w:rPr>
                <w:sz w:val="20"/>
                <w:szCs w:val="20"/>
              </w:rPr>
              <w:t xml:space="preserve">Medium</w:t>
            </w:r>
          </w:p>
        </w:tc>
        <w:tc>
          <w:tcPr>
            <w:shd w:fill="FFFFFF" w:val="clear"/>
            <w:tcMar>
              <w:top w:type="dxa" w:w="60"/>
              <w:left w:type="dxa" w:w="100"/>
              <w:bottom w:type="dxa" w:w="60"/>
              <w:right w:type="dxa" w:w="100"/>
            </w:tcMar>
          </w:tcPr>
          <w:p>
            <w:r>
              <w:rPr>
                <w:sz w:val="20"/>
                <w:szCs w:val="20"/>
              </w:rPr>
              <w:t xml:space="preserve">242</w:t>
            </w:r>
          </w:p>
        </w:tc>
        <w:tc>
          <w:tcPr>
            <w:shd w:fill="FFFFFF" w:val="clear"/>
            <w:tcMar>
              <w:top w:type="dxa" w:w="60"/>
              <w:left w:type="dxa" w:w="100"/>
              <w:bottom w:type="dxa" w:w="60"/>
              <w:right w:type="dxa" w:w="100"/>
            </w:tcMar>
          </w:tcPr>
          <w:p>
            <w:r>
              <w:rPr>
                <w:sz w:val="20"/>
                <w:szCs w:val="20"/>
              </w:rPr>
              <w:t xml:space="preserve">7.0%</w:t>
            </w:r>
          </w:p>
        </w:tc>
        <w:tc>
          <w:tcPr>
            <w:shd w:fill="FFFFFF" w:val="clear"/>
            <w:tcMar>
              <w:top w:type="dxa" w:w="60"/>
              <w:left w:type="dxa" w:w="100"/>
              <w:bottom w:type="dxa" w:w="60"/>
              <w:right w:type="dxa" w:w="100"/>
            </w:tcMar>
          </w:tcPr>
          <w:p>
            <w:r>
              <w:rPr>
                <w:sz w:val="20"/>
                <w:szCs w:val="20"/>
              </w:rPr>
              <w:t xml:space="preserve">$5,579,523</w:t>
            </w:r>
          </w:p>
        </w:tc>
        <w:tc>
          <w:tcPr>
            <w:shd w:fill="FFFFFF" w:val="clear"/>
            <w:tcMar>
              <w:top w:type="dxa" w:w="60"/>
              <w:left w:type="dxa" w:w="100"/>
              <w:bottom w:type="dxa" w:w="60"/>
              <w:right w:type="dxa" w:w="100"/>
            </w:tcMar>
          </w:tcPr>
          <w:p>
            <w:r>
              <w:rPr>
                <w:sz w:val="20"/>
                <w:szCs w:val="20"/>
              </w:rPr>
              <w:t xml:space="preserve">28.7%</w:t>
            </w:r>
          </w:p>
        </w:tc>
      </w:tr>
      <w:tr>
        <w:tc>
          <w:tcPr>
            <w:shd w:fill="F2F2F2" w:val="clear"/>
            <w:tcMar>
              <w:top w:type="dxa" w:w="60"/>
              <w:left w:type="dxa" w:w="100"/>
              <w:bottom w:type="dxa" w:w="60"/>
              <w:right w:type="dxa" w:w="100"/>
            </w:tcMar>
          </w:tcPr>
          <w:p>
            <w:r>
              <w:rPr>
                <w:sz w:val="20"/>
                <w:szCs w:val="20"/>
              </w:rPr>
              <w:t xml:space="preserve">High</w:t>
            </w:r>
          </w:p>
        </w:tc>
        <w:tc>
          <w:tcPr>
            <w:shd w:fill="F2F2F2" w:val="clear"/>
            <w:tcMar>
              <w:top w:type="dxa" w:w="60"/>
              <w:left w:type="dxa" w:w="100"/>
              <w:bottom w:type="dxa" w:w="60"/>
              <w:right w:type="dxa" w:w="100"/>
            </w:tcMar>
          </w:tcPr>
          <w:p>
            <w:r>
              <w:rPr>
                <w:sz w:val="20"/>
                <w:szCs w:val="20"/>
              </w:rPr>
              <w:t xml:space="preserve">245</w:t>
            </w:r>
          </w:p>
        </w:tc>
        <w:tc>
          <w:tcPr>
            <w:shd w:fill="F2F2F2" w:val="clear"/>
            <w:tcMar>
              <w:top w:type="dxa" w:w="60"/>
              <w:left w:type="dxa" w:w="100"/>
              <w:bottom w:type="dxa" w:w="60"/>
              <w:right w:type="dxa" w:w="100"/>
            </w:tcMar>
          </w:tcPr>
          <w:p>
            <w:r>
              <w:rPr>
                <w:sz w:val="20"/>
                <w:szCs w:val="20"/>
              </w:rPr>
              <w:t xml:space="preserve">12.5%</w:t>
            </w:r>
          </w:p>
        </w:tc>
        <w:tc>
          <w:tcPr>
            <w:shd w:fill="F2F2F2" w:val="clear"/>
            <w:tcMar>
              <w:top w:type="dxa" w:w="60"/>
              <w:left w:type="dxa" w:w="100"/>
              <w:bottom w:type="dxa" w:w="60"/>
              <w:right w:type="dxa" w:w="100"/>
            </w:tcMar>
          </w:tcPr>
          <w:p>
            <w:r>
              <w:rPr>
                <w:sz w:val="20"/>
                <w:szCs w:val="20"/>
              </w:rPr>
              <w:t xml:space="preserve">$3,388,867</w:t>
            </w:r>
          </w:p>
        </w:tc>
        <w:tc>
          <w:tcPr>
            <w:shd w:fill="F2F2F2" w:val="clear"/>
            <w:tcMar>
              <w:top w:type="dxa" w:w="60"/>
              <w:left w:type="dxa" w:w="100"/>
              <w:bottom w:type="dxa" w:w="60"/>
              <w:right w:type="dxa" w:w="100"/>
            </w:tcMar>
          </w:tcPr>
          <w:p>
            <w:r>
              <w:rPr>
                <w:sz w:val="20"/>
                <w:szCs w:val="20"/>
              </w:rPr>
              <w:t xml:space="preserve">24.5%</w:t>
            </w:r>
          </w:p>
        </w:tc>
      </w:tr>
    </w:tbl>
    <w:p>
      <w:pPr>
        <w:pStyle w:val="Heading1"/>
        <w:spacing w:after="150" w:before="300"/>
      </w:pPr>
      <w:r>
        <w:t xml:space="preserve">5. Recommendations</w:t>
      </w:r>
    </w:p>
    <w:p>
      <w:pPr>
        <w:pStyle w:val="ListParagraph"/>
        <w:numPr>
          <w:ilvl w:val="0"/>
          <w:numId w:val="1"/>
        </w:numPr>
        <w:spacing w:after="80"/>
      </w:pPr>
      <w:r>
        <w:t xml:space="preserve">Investigate Enterprise segment pricing and cost structure. It's the only segment with negative overall profit and accounts for 100% of loss-making transactions (57 of 700). Review manufacturing/COGS allocation and discount approval thresholds specific to Enterprise deals.</w:t>
      </w:r>
    </w:p>
    <w:p>
      <w:pPr>
        <w:pStyle w:val="ListParagraph"/>
        <w:numPr>
          <w:ilvl w:val="0"/>
          <w:numId w:val="1"/>
        </w:numPr>
        <w:spacing w:after="80"/>
      </w:pPr>
      <w:r>
        <w:t xml:space="preserve">Cap or tier discount approvals above ~10%. High-discount orders (avg. 12.5% off) show the weakest margins (24.5% vs. 37.3% for no-discount orders). Consider requiring manager approval for discounts beyond a defined threshold.</w:t>
      </w:r>
    </w:p>
    <w:p>
      <w:pPr>
        <w:pStyle w:val="ListParagraph"/>
        <w:numPr>
          <w:ilvl w:val="0"/>
          <w:numId w:val="1"/>
        </w:numPr>
        <w:spacing w:after="80"/>
      </w:pPr>
      <w:r>
        <w:t xml:space="preserve">Double down on Government and Channel Partners relationships — highest-margin segments and worth prioritizing in account planning and renewal conversations.</w:t>
      </w:r>
    </w:p>
    <w:p>
      <w:pPr>
        <w:pStyle w:val="ListParagraph"/>
        <w:numPr>
          <w:ilvl w:val="0"/>
          <w:numId w:val="1"/>
        </w:numPr>
        <w:spacing w:after="80"/>
      </w:pPr>
      <w:r>
        <w:t xml:space="preserve">Plan inventory and staffing around the October/December demand peaks seen in both years, and investigate targeted promotions for the softer March/May/November months.</w:t>
      </w:r>
    </w:p>
    <w:p>
      <w:pPr>
        <w:pStyle w:val="ListParagraph"/>
        <w:numPr>
          <w:ilvl w:val="0"/>
          <w:numId w:val="1"/>
        </w:numPr>
        <w:spacing w:after="80"/>
      </w:pPr>
      <w:r>
        <w:t xml:space="preserve">Review Carretera's cost and pricing — it underperforms on profit relative to its unit sales versus other products in the lineup.</w:t>
      </w:r>
    </w:p>
    <w:p>
      <w:pPr>
        <w:pStyle w:val="Heading1"/>
        <w:spacing w:after="150" w:before="300"/>
      </w:pPr>
      <w:r>
        <w:t xml:space="preserve">6. Deliverables</w:t>
      </w:r>
    </w:p>
    <w:p>
      <w:pPr>
        <w:spacing w:after="120"/>
      </w:pPr>
      <w:r>
        <w:t xml:space="preserve">This analysis is packaged with the following files:</w:t>
      </w:r>
    </w:p>
    <w:p>
      <w:pPr>
        <w:pStyle w:val="ListParagraph"/>
        <w:numPr>
          <w:ilvl w:val="0"/>
          <w:numId w:val="1"/>
        </w:numPr>
        <w:spacing w:after="80"/>
      </w:pPr>
      <w:r>
        <w:t xml:space="preserve">01_clean_explore.py — Python data cleaning &amp; exploration script</w:t>
      </w:r>
    </w:p>
    <w:p>
      <w:pPr>
        <w:pStyle w:val="ListParagraph"/>
        <w:numPr>
          <w:ilvl w:val="0"/>
          <w:numId w:val="1"/>
        </w:numPr>
        <w:spacing w:after="80"/>
      </w:pPr>
      <w:r>
        <w:t xml:space="preserve">02_sql_analysis.py — SQL (SQLite) business-question queries</w:t>
      </w:r>
    </w:p>
    <w:p>
      <w:pPr>
        <w:pStyle w:val="ListParagraph"/>
        <w:numPr>
          <w:ilvl w:val="0"/>
          <w:numId w:val="1"/>
        </w:numPr>
        <w:spacing w:after="80"/>
      </w:pPr>
      <w:r>
        <w:t xml:space="preserve">03_build_dashboard.py — Excel dashboard generation script</w:t>
      </w:r>
    </w:p>
    <w:p>
      <w:pPr>
        <w:pStyle w:val="ListParagraph"/>
        <w:numPr>
          <w:ilvl w:val="0"/>
          <w:numId w:val="1"/>
        </w:numPr>
        <w:spacing w:after="80"/>
      </w:pPr>
      <w:r>
        <w:t xml:space="preserve">cleaned_sales_data.csv — cleaned dataset</w:t>
      </w:r>
    </w:p>
    <w:p>
      <w:pPr>
        <w:pStyle w:val="ListParagraph"/>
        <w:numPr>
          <w:ilvl w:val="0"/>
          <w:numId w:val="1"/>
        </w:numPr>
        <w:spacing w:after="80"/>
      </w:pPr>
      <w:r>
        <w:t xml:space="preserve">sql_analysis_results.xlsx — raw SQL query outputs</w:t>
      </w:r>
    </w:p>
    <w:p>
      <w:pPr>
        <w:pStyle w:val="ListParagraph"/>
        <w:numPr>
          <w:ilvl w:val="0"/>
          <w:numId w:val="1"/>
        </w:numPr>
        <w:spacing w:after="80"/>
      </w:pPr>
      <w:r>
        <w:t xml:space="preserve">Sales_Performance_Dashboard.xlsx — interactive Excel dashboard (KPI cards + 4 charts, formula-driven)</w:t>
      </w:r>
    </w:p>
    <w:p>
      <w:pPr>
        <w:pStyle w:val="ListParagraph"/>
        <w:numPr>
          <w:ilvl w:val="0"/>
          <w:numId w:val="1"/>
        </w:numPr>
        <w:spacing w:after="80"/>
      </w:pPr>
      <w:r>
        <w:t xml:space="preserve">Sales_Performance_Report.docx — this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9f205d22870800e2e6704625c8f56f5f6890237.png"/><Relationship Id="rId8" Type="http://schemas.openxmlformats.org/officeDocument/2006/relationships/image" Target="media/71b2f9c325bd2d23e7760e0d6b7dcc975fd511ac.png"/><Relationship Id="rId9" Type="http://schemas.openxmlformats.org/officeDocument/2006/relationships/image" Target="media/6a68097fde5bd59b7cdd551b8b7fb757a78b4eb0.png"/><Relationship Id="rId10" Type="http://schemas.openxmlformats.org/officeDocument/2006/relationships/image" Target="media/deff39cf4ac4f471214f1f96330481524f24c90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2026-08-19T06:49:33.206Z</dcterms:created>
  <dcterms:modified xsi:type="dcterms:W3CDTF">2026-08-19T06:49:33.206Z</dcterms:modified>
</cp:coreProperties>
</file>

<file path=docProps/custom.xml><?xml version="1.0" encoding="utf-8"?>
<Properties xmlns="http://schemas.openxmlformats.org/officeDocument/2006/custom-properties" xmlns:vt="http://schemas.openxmlformats.org/officeDocument/2006/docPropsVTypes"/>
</file>