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60"/>
      </w:pPr>
    </w:p>
    <w:p>
      <w:pPr>
        <w:spacing w:after="400"/>
        <w:jc w:val="center"/>
      </w:pPr>
      <w:r>
        <w:drawing>
          <wp:inline xmlns:a="http://schemas.openxmlformats.org/drawingml/2006/main" xmlns:pic="http://schemas.openxmlformats.org/drawingml/2006/picture">
            <wp:extent cx="3383280" cy="2255520"/>
            <wp:docPr id="1" name="Picture 1" descr="KodeIQ Software Solutions logo"/>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3383280" cy="2255520"/>
                    </a:xfrm>
                    <a:prstGeom prst="rect"/>
                  </pic:spPr>
                </pic:pic>
              </a:graphicData>
            </a:graphic>
          </wp:inline>
        </w:drawing>
      </w:r>
    </w:p>
    <w:p>
      <w:pPr>
        <w:pStyle w:val="Title"/>
        <w:jc w:val="center"/>
      </w:pPr>
      <w:r>
        <w:t>HangOut Production Implementation Proposal</w:t>
      </w:r>
    </w:p>
    <w:p>
      <w:pPr>
        <w:pStyle w:val="Subtitle"/>
        <w:jc w:val="center"/>
      </w:pPr>
      <w:r>
        <w:t>Client-ready scope of work, investment and delivery terms</w:t>
      </w:r>
    </w:p>
    <w:p>
      <w:pPr>
        <w:spacing w:after="600"/>
      </w:pP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17233C"/>
          </w:tcPr>
          <w:p>
            <w:pPr>
              <w:spacing w:after="0"/>
            </w:pPr>
            <w:r>
              <w:rPr>
                <w:b/>
                <w:color w:val="18B8F2"/>
                <w:sz w:val="18"/>
              </w:rPr>
              <w:t xml:space="preserve">PHASE 1 INVESTMENT  </w:t>
            </w:r>
            <w:r>
              <w:rPr>
                <w:color w:val="FFFFFF"/>
                <w:sz w:val="20"/>
              </w:rPr>
              <w:t>R16,000 once-off  |  Ongoing support: R400 per month</w:t>
            </w:r>
          </w:p>
        </w:tc>
      </w:tr>
    </w:tbl>
    <w:p>
      <w:pPr>
        <w:spacing w:after="0"/>
      </w:pPr>
    </w:p>
    <w:p>
      <w:pPr>
        <w:spacing w:after="76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2563EB"/>
            <w:tcMar>
              <w:top w:w="100" w:type="dxa"/>
              <w:start w:w="130" w:type="dxa"/>
              <w:bottom w:w="100" w:type="dxa"/>
              <w:end w:w="130" w:type="dxa"/>
            </w:tcMar>
            <w:vAlign w:val="center"/>
          </w:tcPr>
          <w:p>
            <w:pPr>
              <w:spacing w:after="0"/>
            </w:pPr>
            <w:r>
              <w:rPr>
                <w:b/>
                <w:color w:val="FFFFFF"/>
                <w:sz w:val="19"/>
              </w:rPr>
              <w:t>Prepared by</w:t>
            </w:r>
          </w:p>
        </w:tc>
        <w:tc>
          <w:tcPr>
            <w:tcW w:type="dxa" w:w="4680"/>
            <w:shd w:fill="2563EB"/>
            <w:tcMar>
              <w:top w:w="100" w:type="dxa"/>
              <w:start w:w="130" w:type="dxa"/>
              <w:bottom w:w="100" w:type="dxa"/>
              <w:end w:w="130" w:type="dxa"/>
            </w:tcMar>
            <w:vAlign w:val="center"/>
          </w:tcPr>
          <w:p>
            <w:pPr>
              <w:spacing w:after="0"/>
            </w:pPr>
            <w:r>
              <w:rPr>
                <w:b/>
                <w:color w:val="FFFFFF"/>
                <w:sz w:val="19"/>
              </w:rPr>
              <w:t>Project</w:t>
            </w:r>
          </w:p>
        </w:tc>
      </w:tr>
      <w:tr>
        <w:tc>
          <w:tcPr>
            <w:tcW w:type="dxa" w:w="4680"/>
            <w:tcMar>
              <w:top w:w="100" w:type="dxa"/>
              <w:start w:w="130" w:type="dxa"/>
              <w:bottom w:w="100" w:type="dxa"/>
              <w:end w:w="130" w:type="dxa"/>
            </w:tcMar>
            <w:vAlign w:val="center"/>
          </w:tcPr>
          <w:p>
            <w:pPr>
              <w:spacing w:after="0" w:line="259" w:lineRule="auto"/>
            </w:pPr>
            <w:r>
              <w:rPr>
                <w:color w:val="25324A"/>
                <w:sz w:val="18"/>
              </w:rPr>
              <w:t>KodeIQ Software Solutions</w:t>
            </w:r>
          </w:p>
        </w:tc>
        <w:tc>
          <w:tcPr>
            <w:tcW w:type="dxa" w:w="4680"/>
            <w:tcMar>
              <w:top w:w="100" w:type="dxa"/>
              <w:start w:w="130" w:type="dxa"/>
              <w:bottom w:w="100" w:type="dxa"/>
              <w:end w:w="130" w:type="dxa"/>
            </w:tcMar>
            <w:vAlign w:val="center"/>
          </w:tcPr>
          <w:p>
            <w:pPr>
              <w:spacing w:after="0" w:line="259" w:lineRule="auto"/>
            </w:pPr>
            <w:r>
              <w:rPr>
                <w:color w:val="25324A"/>
                <w:sz w:val="18"/>
              </w:rPr>
              <w:t>HangOut Event Platform</w:t>
            </w:r>
          </w:p>
        </w:tc>
      </w:tr>
      <w:tr>
        <w:tc>
          <w:tcPr>
            <w:tcW w:type="dxa" w:w="4680"/>
            <w:shd w:fill="F8FAFD"/>
            <w:tcMar>
              <w:top w:w="100" w:type="dxa"/>
              <w:start w:w="130" w:type="dxa"/>
              <w:bottom w:w="100" w:type="dxa"/>
              <w:end w:w="130" w:type="dxa"/>
            </w:tcMar>
            <w:vAlign w:val="center"/>
          </w:tcPr>
          <w:p>
            <w:pPr>
              <w:spacing w:after="0" w:line="259" w:lineRule="auto"/>
            </w:pPr>
            <w:r>
              <w:rPr>
                <w:color w:val="25324A"/>
                <w:sz w:val="18"/>
              </w:rPr>
              <w:t>Website</w:t>
            </w:r>
          </w:p>
        </w:tc>
        <w:tc>
          <w:tcPr>
            <w:tcW w:type="dxa" w:w="4680"/>
            <w:shd w:fill="F8FAFD"/>
            <w:tcMar>
              <w:top w:w="100" w:type="dxa"/>
              <w:start w:w="130" w:type="dxa"/>
              <w:bottom w:w="100" w:type="dxa"/>
              <w:end w:w="130" w:type="dxa"/>
            </w:tcMar>
            <w:vAlign w:val="center"/>
          </w:tcPr>
          <w:p>
            <w:pPr>
              <w:spacing w:after="0" w:line="259" w:lineRule="auto"/>
            </w:pPr>
            <w:r>
              <w:rPr>
                <w:color w:val="25324A"/>
                <w:sz w:val="18"/>
              </w:rPr>
              <w:t>www.kodeiq.online</w:t>
            </w:r>
          </w:p>
        </w:tc>
      </w:tr>
      <w:tr>
        <w:tc>
          <w:tcPr>
            <w:tcW w:type="dxa" w:w="4680"/>
            <w:tcMar>
              <w:top w:w="100" w:type="dxa"/>
              <w:start w:w="130" w:type="dxa"/>
              <w:bottom w:w="100" w:type="dxa"/>
              <w:end w:w="130" w:type="dxa"/>
            </w:tcMar>
            <w:vAlign w:val="center"/>
          </w:tcPr>
          <w:p>
            <w:pPr>
              <w:spacing w:after="0" w:line="259" w:lineRule="auto"/>
            </w:pPr>
            <w:r>
              <w:rPr>
                <w:color w:val="25324A"/>
                <w:sz w:val="18"/>
              </w:rPr>
              <w:t>Proposal status</w:t>
            </w:r>
          </w:p>
        </w:tc>
        <w:tc>
          <w:tcPr>
            <w:tcW w:type="dxa" w:w="4680"/>
            <w:tcMar>
              <w:top w:w="100" w:type="dxa"/>
              <w:start w:w="130" w:type="dxa"/>
              <w:bottom w:w="100" w:type="dxa"/>
              <w:end w:w="130" w:type="dxa"/>
            </w:tcMar>
            <w:vAlign w:val="center"/>
          </w:tcPr>
          <w:p>
            <w:pPr>
              <w:spacing w:after="0" w:line="259" w:lineRule="auto"/>
            </w:pPr>
            <w:r>
              <w:rPr>
                <w:color w:val="25324A"/>
                <w:sz w:val="18"/>
              </w:rPr>
              <w:t>Phase 1 - Production Implementation</w:t>
            </w:r>
          </w:p>
        </w:tc>
      </w:tr>
    </w:tbl>
    <w:p>
      <w:pPr>
        <w:spacing w:after="0"/>
      </w:pPr>
    </w:p>
    <w:p>
      <w:pPr>
        <w:jc w:val="center"/>
      </w:pPr>
      <w:r>
        <w:rPr>
          <w:i/>
          <w:color w:val="667085"/>
          <w:sz w:val="18"/>
        </w:rPr>
        <w:t>Confidential commercial proposal</w:t>
      </w:r>
    </w:p>
    <w:p>
      <w:r>
        <w:br w:type="page"/>
      </w:r>
    </w:p>
    <w:p>
      <w:pPr>
        <w:pStyle w:val="Heading1"/>
      </w:pPr>
      <w:r>
        <w:t>1. Executive summary</w:t>
      </w:r>
    </w:p>
    <w:p>
      <w:r>
        <w:t>KodeIQ Software Solutions proposes to complete and deploy the agreed Phase 1 HangOut event platform. The engagement is intentionally limited to the core customer, host and administrator experiences required to operate an event marketplace. The system will use Xneelo hosting, a secure PHP API, MySQL and PayFast for the agreed production implementation.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AF5FF"/>
          </w:tcPr>
          <w:p>
            <w:pPr>
              <w:spacing w:after="0"/>
            </w:pPr>
            <w:r>
              <w:rPr>
                <w:b/>
                <w:color w:val="2563EB"/>
                <w:sz w:val="18"/>
              </w:rPr>
              <w:t xml:space="preserve">SCOPE POSITION  </w:t>
            </w:r>
            <w:r>
              <w:rPr>
                <w:color w:val="25324A"/>
                <w:sz w:val="20"/>
              </w:rPr>
              <w:t>Only the features and workflows expressly listed in this document are included. No additional modules, integrations, dashboards, automations or mobile applications are included unless approved through a separate written quotation.</w:t>
            </w:r>
          </w:p>
        </w:tc>
      </w:tr>
    </w:tbl>
    <w:p>
      <w:pPr>
        <w:spacing w:after="0"/>
      </w:pPr>
    </w:p>
    <w:p>
      <w:pPr>
        <w:pStyle w:val="Heading1"/>
      </w:pPr>
      <w:r>
        <w:t>2. Phase 1 outcome</w:t>
      </w:r>
    </w:p>
    <w:p>
      <w:r>
        <w:t>At completion, HangOut will provide one production web platform with three controlled user areas: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17233C"/>
            <w:tcMar>
              <w:top w:w="100" w:type="dxa"/>
              <w:start w:w="130" w:type="dxa"/>
              <w:bottom w:w="100" w:type="dxa"/>
              <w:end w:w="130" w:type="dxa"/>
            </w:tcMar>
            <w:vAlign w:val="center"/>
          </w:tcPr>
          <w:p>
            <w:pPr>
              <w:spacing w:after="0"/>
            </w:pPr>
            <w:r>
              <w:rPr>
                <w:b/>
                <w:color w:val="FFFFFF"/>
                <w:sz w:val="19"/>
              </w:rPr>
              <w:t>User area</w:t>
            </w:r>
          </w:p>
        </w:tc>
        <w:tc>
          <w:tcPr>
            <w:tcW w:type="dxa" w:w="7360"/>
            <w:shd w:fill="17233C"/>
            <w:tcMar>
              <w:top w:w="100" w:type="dxa"/>
              <w:start w:w="130" w:type="dxa"/>
              <w:bottom w:w="100" w:type="dxa"/>
              <w:end w:w="130" w:type="dxa"/>
            </w:tcMar>
            <w:vAlign w:val="center"/>
          </w:tcPr>
          <w:p>
            <w:pPr>
              <w:spacing w:after="0"/>
            </w:pPr>
            <w:r>
              <w:rPr>
                <w:b/>
                <w:color w:val="FFFFFF"/>
                <w:sz w:val="19"/>
              </w:rPr>
              <w:t>Phase 1 outcome</w:t>
            </w:r>
          </w:p>
        </w:tc>
      </w:tr>
      <w:tr>
        <w:tc>
          <w:tcPr>
            <w:tcW w:type="dxa" w:w="2000"/>
            <w:tcMar>
              <w:top w:w="100" w:type="dxa"/>
              <w:start w:w="130" w:type="dxa"/>
              <w:bottom w:w="100" w:type="dxa"/>
              <w:end w:w="130" w:type="dxa"/>
            </w:tcMar>
            <w:vAlign w:val="center"/>
          </w:tcPr>
          <w:p>
            <w:pPr>
              <w:spacing w:after="0" w:line="259" w:lineRule="auto"/>
            </w:pPr>
            <w:r>
              <w:rPr>
                <w:color w:val="25324A"/>
                <w:sz w:val="18"/>
              </w:rPr>
              <w:t>Customer</w:t>
            </w:r>
          </w:p>
        </w:tc>
        <w:tc>
          <w:tcPr>
            <w:tcW w:type="dxa" w:w="7360"/>
            <w:tcMar>
              <w:top w:w="100" w:type="dxa"/>
              <w:start w:w="130" w:type="dxa"/>
              <w:bottom w:w="100" w:type="dxa"/>
              <w:end w:w="130" w:type="dxa"/>
            </w:tcMar>
            <w:vAlign w:val="center"/>
          </w:tcPr>
          <w:p>
            <w:pPr>
              <w:spacing w:after="0" w:line="259" w:lineRule="auto"/>
            </w:pPr>
            <w:r>
              <w:rPr>
                <w:color w:val="25324A"/>
                <w:sz w:val="18"/>
              </w:rPr>
              <w:t>Can register or log in, browse events, complete the agreed booking journey and manage customer-facing information.</w:t>
            </w:r>
          </w:p>
        </w:tc>
      </w:tr>
      <w:tr>
        <w:tc>
          <w:tcPr>
            <w:tcW w:type="dxa" w:w="2000"/>
            <w:shd w:fill="F8FAFD"/>
            <w:tcMar>
              <w:top w:w="100" w:type="dxa"/>
              <w:start w:w="130" w:type="dxa"/>
              <w:bottom w:w="100" w:type="dxa"/>
              <w:end w:w="130" w:type="dxa"/>
            </w:tcMar>
            <w:vAlign w:val="center"/>
          </w:tcPr>
          <w:p>
            <w:pPr>
              <w:spacing w:after="0" w:line="259" w:lineRule="auto"/>
            </w:pPr>
            <w:r>
              <w:rPr>
                <w:color w:val="25324A"/>
                <w:sz w:val="18"/>
              </w:rPr>
              <w:t>Host</w:t>
            </w:r>
          </w:p>
        </w:tc>
        <w:tc>
          <w:tcPr>
            <w:tcW w:type="dxa" w:w="7360"/>
            <w:shd w:fill="F8FAFD"/>
            <w:tcMar>
              <w:top w:w="100" w:type="dxa"/>
              <w:start w:w="130" w:type="dxa"/>
              <w:bottom w:w="100" w:type="dxa"/>
              <w:end w:w="130" w:type="dxa"/>
            </w:tcMar>
            <w:vAlign w:val="center"/>
          </w:tcPr>
          <w:p>
            <w:pPr>
              <w:spacing w:after="0" w:line="259" w:lineRule="auto"/>
            </w:pPr>
            <w:r>
              <w:rPr>
                <w:color w:val="25324A"/>
                <w:sz w:val="18"/>
              </w:rPr>
              <w:t>Can log in, create and manage events, view bookings, and use a wallet with basic sales/accounting reporting.</w:t>
            </w:r>
          </w:p>
        </w:tc>
      </w:tr>
      <w:tr>
        <w:tc>
          <w:tcPr>
            <w:tcW w:type="dxa" w:w="2000"/>
            <w:tcMar>
              <w:top w:w="100" w:type="dxa"/>
              <w:start w:w="130" w:type="dxa"/>
              <w:bottom w:w="100" w:type="dxa"/>
              <w:end w:w="130" w:type="dxa"/>
            </w:tcMar>
            <w:vAlign w:val="center"/>
          </w:tcPr>
          <w:p>
            <w:pPr>
              <w:spacing w:after="0" w:line="259" w:lineRule="auto"/>
            </w:pPr>
            <w:r>
              <w:rPr>
                <w:color w:val="25324A"/>
                <w:sz w:val="18"/>
              </w:rPr>
              <w:t>Administrator</w:t>
            </w:r>
          </w:p>
        </w:tc>
        <w:tc>
          <w:tcPr>
            <w:tcW w:type="dxa" w:w="7360"/>
            <w:tcMar>
              <w:top w:w="100" w:type="dxa"/>
              <w:start w:w="130" w:type="dxa"/>
              <w:bottom w:w="100" w:type="dxa"/>
              <w:end w:w="130" w:type="dxa"/>
            </w:tcMar>
            <w:vAlign w:val="center"/>
          </w:tcPr>
          <w:p>
            <w:pPr>
              <w:spacing w:after="0" w:line="259" w:lineRule="auto"/>
            </w:pPr>
            <w:r>
              <w:rPr>
                <w:color w:val="25324A"/>
                <w:sz w:val="18"/>
              </w:rPr>
              <w:t>Can oversee customers, hosts, events, bookings, payment records and the core workflows from an admin dashboard.</w:t>
            </w:r>
          </w:p>
        </w:tc>
      </w:tr>
    </w:tbl>
    <w:p>
      <w:pPr>
        <w:spacing w:after="0"/>
      </w:pPr>
    </w:p>
    <w:p>
      <w:pPr>
        <w:pStyle w:val="Heading2"/>
      </w:pPr>
      <w:r>
        <w:t>2.1 Platform foundations</w:t>
      </w:r>
    </w:p>
    <w:p>
      <w:pPr>
        <w:pStyle w:val="ListBullet"/>
      </w:pPr>
      <w:r>
        <w:t>Production deployment to the agreed Xneelo environment.</w:t>
      </w:r>
    </w:p>
    <w:p>
      <w:pPr>
        <w:pStyle w:val="ListBullet"/>
      </w:pPr>
      <w:r>
        <w:t>Secure PHP API connected to a MySQL database.</w:t>
      </w:r>
    </w:p>
    <w:p>
      <w:pPr>
        <w:pStyle w:val="ListBullet"/>
      </w:pPr>
      <w:r>
        <w:t>Role-based authentication for customers, hosts and administrators.</w:t>
      </w:r>
    </w:p>
    <w:p>
      <w:pPr>
        <w:pStyle w:val="ListBullet"/>
      </w:pPr>
      <w:r>
        <w:t>PayFast integration for the agreed event-booking payment flow.</w:t>
      </w:r>
    </w:p>
    <w:p>
      <w:pPr>
        <w:pStyle w:val="ListBullet"/>
      </w:pPr>
      <w:r>
        <w:t>Responsive customer, host and admin views for supported browsers.</w:t>
      </w:r>
    </w:p>
    <w:p>
      <w:pPr>
        <w:pStyle w:val="ListBullet"/>
      </w:pPr>
      <w:r>
        <w:t>Testing of the agreed workflows and production launch.</w:t>
      </w:r>
    </w:p>
    <w:p>
      <w:r>
        <w:br w:type="page"/>
      </w:r>
    </w:p>
    <w:p>
      <w:pPr>
        <w:pStyle w:val="Heading1"/>
      </w:pPr>
      <w:r>
        <w:t>3. Detailed scope of work</w:t>
      </w:r>
    </w:p>
    <w:p>
      <w:pPr>
        <w:pStyle w:val="Heading2"/>
      </w:pPr>
      <w:r>
        <w:t>3.1 Main events experience</w:t>
      </w:r>
    </w:p>
    <w:p>
      <w:pPr>
        <w:pStyle w:val="ListBullet"/>
      </w:pPr>
      <w:r>
        <w:t>Main events page displaying available/published events.</w:t>
      </w:r>
    </w:p>
    <w:p>
      <w:pPr>
        <w:pStyle w:val="ListBullet"/>
      </w:pPr>
      <w:r>
        <w:t>Basic event discovery through the agreed categories, search and/or filters.</w:t>
      </w:r>
    </w:p>
    <w:p>
      <w:pPr>
        <w:pStyle w:val="ListBullet"/>
      </w:pPr>
      <w:r>
        <w:t>Event detail view with event information, dates, venue, ticket options, price and availability.</w:t>
      </w:r>
    </w:p>
    <w:p>
      <w:pPr>
        <w:pStyle w:val="ListBullet"/>
      </w:pPr>
      <w:r>
        <w:t>Saved events for signed-in customers.</w:t>
      </w:r>
    </w:p>
    <w:p>
      <w:pPr>
        <w:pStyle w:val="ListBullet"/>
      </w:pPr>
      <w:r>
        <w:t>Capacity display and prevention of bookings above the configured event capacity.</w:t>
      </w:r>
    </w:p>
    <w:p>
      <w:pPr>
        <w:pStyle w:val="Heading2"/>
      </w:pPr>
      <w:r>
        <w:t>3.2 Customer access and workflows</w:t>
      </w:r>
    </w:p>
    <w:p>
      <w:pPr>
        <w:pStyle w:val="ListBullet"/>
      </w:pPr>
      <w:r>
        <w:t>Customer registration, login and logout.</w:t>
      </w:r>
    </w:p>
    <w:p>
      <w:pPr>
        <w:pStyle w:val="ListBullet"/>
      </w:pPr>
      <w:r>
        <w:t>Password recovery through the agreed authentication process.</w:t>
      </w:r>
    </w:p>
    <w:p>
      <w:pPr>
        <w:pStyle w:val="ListBullet"/>
      </w:pPr>
      <w:r>
        <w:t>Customer profile view and basic profile updates.</w:t>
      </w:r>
    </w:p>
    <w:p>
      <w:pPr>
        <w:pStyle w:val="ListBullet"/>
      </w:pPr>
      <w:r>
        <w:t>Browse and save events.</w:t>
      </w:r>
    </w:p>
    <w:p>
      <w:pPr>
        <w:pStyle w:val="ListBullet"/>
      </w:pPr>
      <w:r>
        <w:t>Select from the ticket types configured by the host.</w:t>
      </w:r>
    </w:p>
    <w:p>
      <w:pPr>
        <w:pStyle w:val="ListBullet"/>
      </w:pPr>
      <w:r>
        <w:t>Apply valid promo codes or early-bird pricing where configured.</w:t>
      </w:r>
    </w:p>
    <w:p>
      <w:pPr>
        <w:pStyle w:val="ListBullet"/>
      </w:pPr>
      <w:r>
        <w:t>Complete the PayFast booking/payment flow.</w:t>
      </w:r>
    </w:p>
    <w:p>
      <w:pPr>
        <w:pStyle w:val="ListBullet"/>
      </w:pPr>
      <w:r>
        <w:t>Receive booking confirmation and a QR ticket.</w:t>
      </w:r>
    </w:p>
    <w:p>
      <w:pPr>
        <w:pStyle w:val="ListBullet"/>
      </w:pPr>
      <w:r>
        <w:t>View booking history and available tickets.</w:t>
      </w:r>
    </w:p>
    <w:p>
      <w:pPr>
        <w:pStyle w:val="ListBullet"/>
      </w:pPr>
      <w:r>
        <w:t>Submit an event review through the agreed basic review flow.</w:t>
      </w:r>
    </w:p>
    <w:p>
      <w:pPr>
        <w:pStyle w:val="Heading2"/>
      </w:pPr>
      <w:r>
        <w:t>3.3 Customer scope boundary</w:t>
      </w:r>
    </w:p>
    <w:p>
      <w:r>
        <w:t>Customer functionality is limited to the pages and workflows listed above. Loyalty programmes, social networking, chat, subscriptions, complex refunds, recommendations, native apps and other customer features are excluded unless separately quoted.</w:t>
      </w:r>
    </w:p>
    <w:p>
      <w:r>
        <w:br w:type="page"/>
      </w:r>
    </w:p>
    <w:p>
      <w:pPr>
        <w:pStyle w:val="Heading1"/>
      </w:pPr>
      <w:r>
        <w:t>4. Host scope of work</w:t>
      </w:r>
    </w:p>
    <w:p>
      <w:pPr>
        <w:pStyle w:val="Heading2"/>
      </w:pPr>
      <w:r>
        <w:t>4.1 Host access</w:t>
      </w:r>
    </w:p>
    <w:p>
      <w:pPr>
        <w:pStyle w:val="ListBullet"/>
      </w:pPr>
      <w:r>
        <w:t>Separate host login and role-controlled host access.</w:t>
      </w:r>
    </w:p>
    <w:p>
      <w:pPr>
        <w:pStyle w:val="ListBullet"/>
      </w:pPr>
      <w:r>
        <w:t>Host account/profile with the agreed basic organiser information.</w:t>
      </w:r>
    </w:p>
    <w:p>
      <w:pPr>
        <w:pStyle w:val="ListBullet"/>
      </w:pPr>
      <w:r>
        <w:t>Host dashboard showing the host’s own events and relevant booking totals.</w:t>
      </w:r>
    </w:p>
    <w:p>
      <w:pPr>
        <w:pStyle w:val="Heading2"/>
      </w:pPr>
      <w:r>
        <w:t>4.2 Host create and event management</w:t>
      </w:r>
    </w:p>
    <w:p>
      <w:pPr>
        <w:pStyle w:val="ListBullet"/>
      </w:pPr>
      <w:r>
        <w:t>Create an event with the agreed event details, dates, venue, capacity and imagery.</w:t>
      </w:r>
    </w:p>
    <w:p>
      <w:pPr>
        <w:pStyle w:val="ListBullet"/>
      </w:pPr>
      <w:r>
        <w:t>Configure multiple ticket types, prices and available quantities.</w:t>
      </w:r>
    </w:p>
    <w:p>
      <w:pPr>
        <w:pStyle w:val="ListBullet"/>
      </w:pPr>
      <w:r>
        <w:t>Configure supported promo codes and early-bird pricing.</w:t>
      </w:r>
    </w:p>
    <w:p>
      <w:pPr>
        <w:pStyle w:val="ListBullet"/>
      </w:pPr>
      <w:r>
        <w:t>Edit the host’s own event within the agreed status rules.</w:t>
      </w:r>
    </w:p>
    <w:p>
      <w:pPr>
        <w:pStyle w:val="ListBullet"/>
      </w:pPr>
      <w:r>
        <w:t>View booking/attendee information for the host’s own events.</w:t>
      </w:r>
    </w:p>
    <w:p>
      <w:pPr>
        <w:pStyle w:val="ListBullet"/>
      </w:pPr>
      <w:r>
        <w:t>Export the agreed event or booking information in a basic downloadable format.</w:t>
      </w:r>
    </w:p>
    <w:p>
      <w:pPr>
        <w:pStyle w:val="Heading2"/>
      </w:pPr>
      <w:r>
        <w:t>4.3 Host wallet and basic accounting reporting</w:t>
      </w:r>
    </w:p>
    <w:p>
      <w:pPr>
        <w:pStyle w:val="ListBullet"/>
      </w:pPr>
      <w:r>
        <w:t>Display gross ticket sales recorded by the platform.</w:t>
      </w:r>
    </w:p>
    <w:p>
      <w:pPr>
        <w:pStyle w:val="ListBullet"/>
      </w:pPr>
      <w:r>
        <w:t>Display applicable booking/platform, developer and PayFast fees where data is available.</w:t>
      </w:r>
    </w:p>
    <w:p>
      <w:pPr>
        <w:pStyle w:val="ListBullet"/>
      </w:pPr>
      <w:r>
        <w:t>Display estimated organiser settlement/net amount.</w:t>
      </w:r>
    </w:p>
    <w:p>
      <w:pPr>
        <w:pStyle w:val="ListBullet"/>
      </w:pPr>
      <w:r>
        <w:t>Basic transaction list by event and booking.</w:t>
      </w:r>
    </w:p>
    <w:p>
      <w:pPr>
        <w:pStyle w:val="ListBullet"/>
      </w:pPr>
      <w:r>
        <w:t>Basic totals and export for the agreed reporting period.</w:t>
      </w: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4E8"/>
          </w:tcPr>
          <w:p>
            <w:pPr>
              <w:spacing w:after="0"/>
            </w:pPr>
            <w:r>
              <w:rPr>
                <w:b/>
                <w:color w:val="B7791F"/>
                <w:sz w:val="18"/>
              </w:rPr>
              <w:t xml:space="preserve">ACCOUNTING LIMITATION  </w:t>
            </w:r>
            <w:r>
              <w:rPr>
                <w:color w:val="25324A"/>
                <w:sz w:val="20"/>
              </w:rPr>
              <w:t>The organiser wallet is an operational reporting view, not a bank account or full accounting system. Bookkeeping, tax calculations, VAT submissions, financial statements, automated reconciliation and integrations with accounting packages are outside scope and quoted separately.</w:t>
            </w:r>
          </w:p>
        </w:tc>
      </w:tr>
    </w:tbl>
    <w:p>
      <w:pPr>
        <w:spacing w:after="0"/>
      </w:pPr>
    </w:p>
    <w:p>
      <w:r>
        <w:br w:type="page"/>
      </w:r>
    </w:p>
    <w:p>
      <w:pPr>
        <w:pStyle w:val="Heading1"/>
      </w:pPr>
      <w:r>
        <w:t>5. Administrator scope of work</w:t>
      </w:r>
    </w:p>
    <w:p>
      <w:r>
        <w:t>The administrator oversees the Phase 1 platform and the customer/host workflows included in this proposal.</w:t>
      </w:r>
    </w:p>
    <w:p>
      <w:pPr>
        <w:pStyle w:val="ListBullet"/>
      </w:pPr>
      <w:r>
        <w:t>Secure administrator login and role-controlled access.</w:t>
      </w:r>
    </w:p>
    <w:p>
      <w:pPr>
        <w:pStyle w:val="ListBullet"/>
      </w:pPr>
      <w:r>
        <w:t>Admin dashboard with high-level customer, host, event and booking information.</w:t>
      </w:r>
    </w:p>
    <w:p>
      <w:pPr>
        <w:pStyle w:val="ListBullet"/>
      </w:pPr>
      <w:r>
        <w:t>View and manage customer accounts within the agreed controls.</w:t>
      </w:r>
    </w:p>
    <w:p>
      <w:pPr>
        <w:pStyle w:val="ListBullet"/>
      </w:pPr>
      <w:r>
        <w:t>View and manage host accounts within the agreed controls.</w:t>
      </w:r>
    </w:p>
    <w:p>
      <w:pPr>
        <w:pStyle w:val="ListBullet"/>
      </w:pPr>
      <w:r>
        <w:t>Review, approve, reject or manage event records according to the agreed workflow.</w:t>
      </w:r>
    </w:p>
    <w:p>
      <w:pPr>
        <w:pStyle w:val="ListBullet"/>
      </w:pPr>
      <w:r>
        <w:t>View booking and payment records captured by the platform.</w:t>
      </w:r>
    </w:p>
    <w:p>
      <w:pPr>
        <w:pStyle w:val="ListBullet"/>
      </w:pPr>
      <w:r>
        <w:t>View organiser wallet/reporting information and exports.</w:t>
      </w:r>
    </w:p>
    <w:p>
      <w:pPr>
        <w:pStyle w:val="ListBullet"/>
      </w:pPr>
      <w:r>
        <w:t>Oversee ticket types, capacities, promo codes, early-bird pricing and QR-ticket records.</w:t>
      </w:r>
    </w:p>
    <w:p>
      <w:pPr>
        <w:pStyle w:val="ListBullet"/>
      </w:pPr>
      <w:r>
        <w:t>Basic platform-level reporting required to oversee the included workflows.</w:t>
      </w:r>
    </w:p>
    <w:p>
      <w:pPr>
        <w:pStyle w:val="Heading2"/>
      </w:pPr>
      <w:r>
        <w:t>5.1 Admin scope boundary</w:t>
      </w:r>
    </w:p>
    <w:p>
      <w:r>
        <w:t>The admin dashboard oversees only the functions listed in this proposal. Advanced business intelligence, custom report builders, automated marketing, CRM functionality, support ticketing, multi-tenant white-labelling and unrelated operational tools are excluded.</w:t>
      </w:r>
    </w:p>
    <w:p>
      <w:pPr>
        <w:pStyle w:val="Heading1"/>
      </w:pPr>
      <w:r>
        <w:t>6. Testing and launch</w:t>
      </w:r>
    </w:p>
    <w:p>
      <w:pPr>
        <w:pStyle w:val="ListBullet"/>
      </w:pPr>
      <w:r>
        <w:t>Configure the agreed production environment and database.</w:t>
      </w:r>
    </w:p>
    <w:p>
      <w:pPr>
        <w:pStyle w:val="ListBullet"/>
      </w:pPr>
      <w:r>
        <w:t>Test customer, host and administrator authentication/permissions.</w:t>
      </w:r>
    </w:p>
    <w:p>
      <w:pPr>
        <w:pStyle w:val="ListBullet"/>
      </w:pPr>
      <w:r>
        <w:t>Test the agreed event, booking, PayFast, ticket and reporting workflows.</w:t>
      </w:r>
    </w:p>
    <w:p>
      <w:pPr>
        <w:pStyle w:val="ListBullet"/>
      </w:pPr>
      <w:r>
        <w:t>Resolve reproducible defects affecting the agreed scope before launch.</w:t>
      </w:r>
    </w:p>
    <w:p>
      <w:pPr>
        <w:pStyle w:val="ListBullet"/>
      </w:pPr>
      <w:r>
        <w:t>Deploy the approved production release.</w:t>
      </w:r>
    </w:p>
    <w:p>
      <w:pPr>
        <w:pStyle w:val="ListBullet"/>
      </w:pPr>
      <w:r>
        <w:t>Provide a basic handover of the included admin and host workflows.</w:t>
      </w:r>
    </w:p>
    <w:p>
      <w:r>
        <w:br w:type="page"/>
      </w:r>
    </w:p>
    <w:p>
      <w:pPr>
        <w:pStyle w:val="Heading1"/>
      </w:pPr>
      <w:r>
        <w:t>7. Investment</w:t>
      </w:r>
    </w:p>
    <w:p>
      <w:r>
        <w:t>The fixed Phase 1 implementation fee is allocated across the approved work packages below. The allocation provides pricing clarity; Phase 1 remains one combined delivery.</w:t>
      </w:r>
    </w:p>
    <w:tbl>
      <w:tblPr>
        <w:tblStyle w:val="TableGrid"/>
        <w:tblW w:type="dxa" w:w="9360"/>
        <w:jc w:val="left"/>
        <w:tblLayout w:type="fixed"/>
        <w:tblLook w:firstColumn="1" w:firstRow="1" w:lastColumn="0" w:lastRow="0" w:noHBand="0" w:noVBand="1" w:val="04A0"/>
        <w:tblInd w:w="120" w:type="dxa"/>
      </w:tblPr>
      <w:tblGrid>
        <w:gridCol w:w="7000"/>
        <w:gridCol w:w="2360"/>
      </w:tblGrid>
      <w:tr>
        <w:trPr>
          <w:tblHeader w:val="true"/>
        </w:trPr>
        <w:tc>
          <w:tcPr>
            <w:tcW w:type="dxa" w:w="7000"/>
            <w:shd w:fill="17233C"/>
            <w:tcMar>
              <w:top w:w="100" w:type="dxa"/>
              <w:start w:w="130" w:type="dxa"/>
              <w:bottom w:w="100" w:type="dxa"/>
              <w:end w:w="130" w:type="dxa"/>
            </w:tcMar>
            <w:vAlign w:val="center"/>
          </w:tcPr>
          <w:p>
            <w:pPr>
              <w:spacing w:after="0"/>
            </w:pPr>
            <w:r>
              <w:rPr>
                <w:b/>
                <w:color w:val="FFFFFF"/>
                <w:sz w:val="19"/>
              </w:rPr>
              <w:t>Work package</w:t>
            </w:r>
          </w:p>
        </w:tc>
        <w:tc>
          <w:tcPr>
            <w:tcW w:type="dxa" w:w="2360"/>
            <w:shd w:fill="17233C"/>
            <w:tcMar>
              <w:top w:w="100" w:type="dxa"/>
              <w:start w:w="130" w:type="dxa"/>
              <w:bottom w:w="100" w:type="dxa"/>
              <w:end w:w="130" w:type="dxa"/>
            </w:tcMar>
            <w:vAlign w:val="center"/>
          </w:tcPr>
          <w:p>
            <w:pPr>
              <w:spacing w:after="0"/>
            </w:pPr>
            <w:r>
              <w:rPr>
                <w:b/>
                <w:color w:val="FFFFFF"/>
                <w:sz w:val="19"/>
              </w:rPr>
              <w:t>Amount</w:t>
            </w:r>
          </w:p>
        </w:tc>
      </w:tr>
      <w:tr>
        <w:tc>
          <w:tcPr>
            <w:tcW w:type="dxa" w:w="7000"/>
            <w:tcMar>
              <w:top w:w="100" w:type="dxa"/>
              <w:start w:w="130" w:type="dxa"/>
              <w:bottom w:w="100" w:type="dxa"/>
              <w:end w:w="130" w:type="dxa"/>
            </w:tcMar>
            <w:vAlign w:val="center"/>
          </w:tcPr>
          <w:p>
            <w:pPr>
              <w:spacing w:after="0" w:line="259" w:lineRule="auto"/>
            </w:pPr>
            <w:r>
              <w:rPr>
                <w:color w:val="25324A"/>
                <w:sz w:val="18"/>
              </w:rPr>
              <w:t>Production environment, secure PHP API and MySQL setup</w:t>
            </w:r>
          </w:p>
        </w:tc>
        <w:tc>
          <w:tcPr>
            <w:tcW w:type="dxa" w:w="2360"/>
            <w:tcMar>
              <w:top w:w="100" w:type="dxa"/>
              <w:start w:w="130" w:type="dxa"/>
              <w:bottom w:w="100" w:type="dxa"/>
              <w:end w:w="130" w:type="dxa"/>
            </w:tcMar>
            <w:vAlign w:val="center"/>
          </w:tcPr>
          <w:p>
            <w:pPr>
              <w:spacing w:after="0" w:line="259" w:lineRule="auto"/>
              <w:jc w:val="right"/>
            </w:pPr>
            <w:r>
              <w:rPr>
                <w:b/>
                <w:color w:val="25324A"/>
                <w:sz w:val="18"/>
              </w:rPr>
              <w:t>R2,500</w:t>
            </w:r>
          </w:p>
        </w:tc>
      </w:tr>
      <w:tr>
        <w:tc>
          <w:tcPr>
            <w:tcW w:type="dxa" w:w="7000"/>
            <w:shd w:fill="F8FAFD"/>
            <w:tcMar>
              <w:top w:w="100" w:type="dxa"/>
              <w:start w:w="130" w:type="dxa"/>
              <w:bottom w:w="100" w:type="dxa"/>
              <w:end w:w="130" w:type="dxa"/>
            </w:tcMar>
            <w:vAlign w:val="center"/>
          </w:tcPr>
          <w:p>
            <w:pPr>
              <w:spacing w:after="0" w:line="259" w:lineRule="auto"/>
            </w:pPr>
            <w:r>
              <w:rPr>
                <w:color w:val="25324A"/>
                <w:sz w:val="18"/>
              </w:rPr>
              <w:t>Authentication and customer access</w:t>
            </w:r>
          </w:p>
        </w:tc>
        <w:tc>
          <w:tcPr>
            <w:tcW w:type="dxa" w:w="2360"/>
            <w:shd w:fill="F8FAFD"/>
            <w:tcMar>
              <w:top w:w="100" w:type="dxa"/>
              <w:start w:w="130" w:type="dxa"/>
              <w:bottom w:w="100" w:type="dxa"/>
              <w:end w:w="130" w:type="dxa"/>
            </w:tcMar>
            <w:vAlign w:val="center"/>
          </w:tcPr>
          <w:p>
            <w:pPr>
              <w:spacing w:after="0" w:line="259" w:lineRule="auto"/>
              <w:jc w:val="right"/>
            </w:pPr>
            <w:r>
              <w:rPr>
                <w:b/>
                <w:color w:val="25324A"/>
                <w:sz w:val="18"/>
              </w:rPr>
              <w:t>R1,500</w:t>
            </w:r>
          </w:p>
        </w:tc>
      </w:tr>
      <w:tr>
        <w:tc>
          <w:tcPr>
            <w:tcW w:type="dxa" w:w="7000"/>
            <w:tcMar>
              <w:top w:w="100" w:type="dxa"/>
              <w:start w:w="130" w:type="dxa"/>
              <w:bottom w:w="100" w:type="dxa"/>
              <w:end w:w="130" w:type="dxa"/>
            </w:tcMar>
            <w:vAlign w:val="center"/>
          </w:tcPr>
          <w:p>
            <w:pPr>
              <w:spacing w:after="0" w:line="259" w:lineRule="auto"/>
            </w:pPr>
            <w:r>
              <w:rPr>
                <w:color w:val="25324A"/>
                <w:sz w:val="18"/>
              </w:rPr>
              <w:t>Main events page and customer workflows</w:t>
            </w:r>
          </w:p>
        </w:tc>
        <w:tc>
          <w:tcPr>
            <w:tcW w:type="dxa" w:w="2360"/>
            <w:tcMar>
              <w:top w:w="100" w:type="dxa"/>
              <w:start w:w="130" w:type="dxa"/>
              <w:bottom w:w="100" w:type="dxa"/>
              <w:end w:w="130" w:type="dxa"/>
            </w:tcMar>
            <w:vAlign w:val="center"/>
          </w:tcPr>
          <w:p>
            <w:pPr>
              <w:spacing w:after="0" w:line="259" w:lineRule="auto"/>
              <w:jc w:val="right"/>
            </w:pPr>
            <w:r>
              <w:rPr>
                <w:b/>
                <w:color w:val="25324A"/>
                <w:sz w:val="18"/>
              </w:rPr>
              <w:t>R3,000</w:t>
            </w:r>
          </w:p>
        </w:tc>
      </w:tr>
      <w:tr>
        <w:tc>
          <w:tcPr>
            <w:tcW w:type="dxa" w:w="7000"/>
            <w:shd w:fill="F8FAFD"/>
            <w:tcMar>
              <w:top w:w="100" w:type="dxa"/>
              <w:start w:w="130" w:type="dxa"/>
              <w:bottom w:w="100" w:type="dxa"/>
              <w:end w:w="130" w:type="dxa"/>
            </w:tcMar>
            <w:vAlign w:val="center"/>
          </w:tcPr>
          <w:p>
            <w:pPr>
              <w:spacing w:after="0" w:line="259" w:lineRule="auto"/>
            </w:pPr>
            <w:r>
              <w:rPr>
                <w:color w:val="25324A"/>
                <w:sz w:val="18"/>
              </w:rPr>
              <w:t>Host login, create page and event management</w:t>
            </w:r>
          </w:p>
        </w:tc>
        <w:tc>
          <w:tcPr>
            <w:tcW w:type="dxa" w:w="2360"/>
            <w:shd w:fill="F8FAFD"/>
            <w:tcMar>
              <w:top w:w="100" w:type="dxa"/>
              <w:start w:w="130" w:type="dxa"/>
              <w:bottom w:w="100" w:type="dxa"/>
              <w:end w:w="130" w:type="dxa"/>
            </w:tcMar>
            <w:vAlign w:val="center"/>
          </w:tcPr>
          <w:p>
            <w:pPr>
              <w:spacing w:after="0" w:line="259" w:lineRule="auto"/>
              <w:jc w:val="right"/>
            </w:pPr>
            <w:r>
              <w:rPr>
                <w:b/>
                <w:color w:val="25324A"/>
                <w:sz w:val="18"/>
              </w:rPr>
              <w:t>R2,500</w:t>
            </w:r>
          </w:p>
        </w:tc>
      </w:tr>
      <w:tr>
        <w:tc>
          <w:tcPr>
            <w:tcW w:type="dxa" w:w="7000"/>
            <w:tcMar>
              <w:top w:w="100" w:type="dxa"/>
              <w:start w:w="130" w:type="dxa"/>
              <w:bottom w:w="100" w:type="dxa"/>
              <w:end w:w="130" w:type="dxa"/>
            </w:tcMar>
            <w:vAlign w:val="center"/>
          </w:tcPr>
          <w:p>
            <w:pPr>
              <w:spacing w:after="0" w:line="259" w:lineRule="auto"/>
            </w:pPr>
            <w:r>
              <w:rPr>
                <w:color w:val="25324A"/>
                <w:sz w:val="18"/>
              </w:rPr>
              <w:t>Host wallet and basic accounting reporting</w:t>
            </w:r>
          </w:p>
        </w:tc>
        <w:tc>
          <w:tcPr>
            <w:tcW w:type="dxa" w:w="2360"/>
            <w:tcMar>
              <w:top w:w="100" w:type="dxa"/>
              <w:start w:w="130" w:type="dxa"/>
              <w:bottom w:w="100" w:type="dxa"/>
              <w:end w:w="130" w:type="dxa"/>
            </w:tcMar>
            <w:vAlign w:val="center"/>
          </w:tcPr>
          <w:p>
            <w:pPr>
              <w:spacing w:after="0" w:line="259" w:lineRule="auto"/>
              <w:jc w:val="right"/>
            </w:pPr>
            <w:r>
              <w:rPr>
                <w:b/>
                <w:color w:val="25324A"/>
                <w:sz w:val="18"/>
              </w:rPr>
              <w:t>R2,000</w:t>
            </w:r>
          </w:p>
        </w:tc>
      </w:tr>
      <w:tr>
        <w:tc>
          <w:tcPr>
            <w:tcW w:type="dxa" w:w="7000"/>
            <w:shd w:fill="F8FAFD"/>
            <w:tcMar>
              <w:top w:w="100" w:type="dxa"/>
              <w:start w:w="130" w:type="dxa"/>
              <w:bottom w:w="100" w:type="dxa"/>
              <w:end w:w="130" w:type="dxa"/>
            </w:tcMar>
            <w:vAlign w:val="center"/>
          </w:tcPr>
          <w:p>
            <w:pPr>
              <w:spacing w:after="0" w:line="259" w:lineRule="auto"/>
            </w:pPr>
            <w:r>
              <w:rPr>
                <w:color w:val="25324A"/>
                <w:sz w:val="18"/>
              </w:rPr>
              <w:t>Administrator dashboard and oversight workflows</w:t>
            </w:r>
          </w:p>
        </w:tc>
        <w:tc>
          <w:tcPr>
            <w:tcW w:type="dxa" w:w="2360"/>
            <w:shd w:fill="F8FAFD"/>
            <w:tcMar>
              <w:top w:w="100" w:type="dxa"/>
              <w:start w:w="130" w:type="dxa"/>
              <w:bottom w:w="100" w:type="dxa"/>
              <w:end w:w="130" w:type="dxa"/>
            </w:tcMar>
            <w:vAlign w:val="center"/>
          </w:tcPr>
          <w:p>
            <w:pPr>
              <w:spacing w:after="0" w:line="259" w:lineRule="auto"/>
              <w:jc w:val="right"/>
            </w:pPr>
            <w:r>
              <w:rPr>
                <w:b/>
                <w:color w:val="25324A"/>
                <w:sz w:val="18"/>
              </w:rPr>
              <w:t>R2,000</w:t>
            </w:r>
          </w:p>
        </w:tc>
      </w:tr>
      <w:tr>
        <w:tc>
          <w:tcPr>
            <w:tcW w:type="dxa" w:w="7000"/>
            <w:tcMar>
              <w:top w:w="100" w:type="dxa"/>
              <w:start w:w="130" w:type="dxa"/>
              <w:bottom w:w="100" w:type="dxa"/>
              <w:end w:w="130" w:type="dxa"/>
            </w:tcMar>
            <w:vAlign w:val="center"/>
          </w:tcPr>
          <w:p>
            <w:pPr>
              <w:spacing w:after="0" w:line="259" w:lineRule="auto"/>
            </w:pPr>
            <w:r>
              <w:rPr>
                <w:color w:val="25324A"/>
                <w:sz w:val="18"/>
              </w:rPr>
              <w:t>PayFast, QR tickets, testing and production launch</w:t>
            </w:r>
          </w:p>
        </w:tc>
        <w:tc>
          <w:tcPr>
            <w:tcW w:type="dxa" w:w="2360"/>
            <w:tcMar>
              <w:top w:w="100" w:type="dxa"/>
              <w:start w:w="130" w:type="dxa"/>
              <w:bottom w:w="100" w:type="dxa"/>
              <w:end w:w="130" w:type="dxa"/>
            </w:tcMar>
            <w:vAlign w:val="center"/>
          </w:tcPr>
          <w:p>
            <w:pPr>
              <w:spacing w:after="0" w:line="259" w:lineRule="auto"/>
              <w:jc w:val="right"/>
            </w:pPr>
            <w:r>
              <w:rPr>
                <w:b/>
                <w:color w:val="25324A"/>
                <w:sz w:val="18"/>
              </w:rPr>
              <w:t>R2,500</w:t>
            </w:r>
          </w:p>
        </w:tc>
      </w:tr>
      <w:tr>
        <w:tc>
          <w:tcPr>
            <w:tcW w:type="dxa" w:w="7000"/>
            <w:shd w:fill="F8FAFD"/>
            <w:tcMar>
              <w:top w:w="100" w:type="dxa"/>
              <w:start w:w="130" w:type="dxa"/>
              <w:bottom w:w="100" w:type="dxa"/>
              <w:end w:w="130" w:type="dxa"/>
            </w:tcMar>
            <w:vAlign w:val="center"/>
          </w:tcPr>
          <w:p>
            <w:pPr>
              <w:spacing w:after="0" w:line="259" w:lineRule="auto"/>
            </w:pPr>
            <w:r>
              <w:rPr>
                <w:color w:val="25324A"/>
                <w:sz w:val="18"/>
              </w:rPr>
              <w:t>TOTAL PHASE 1 - ONCE OFF</w:t>
            </w:r>
          </w:p>
        </w:tc>
        <w:tc>
          <w:tcPr>
            <w:tcW w:type="dxa" w:w="2360"/>
            <w:shd w:fill="F8FAFD"/>
            <w:tcMar>
              <w:top w:w="100" w:type="dxa"/>
              <w:start w:w="130" w:type="dxa"/>
              <w:bottom w:w="100" w:type="dxa"/>
              <w:end w:w="130" w:type="dxa"/>
            </w:tcMar>
            <w:vAlign w:val="center"/>
          </w:tcPr>
          <w:p>
            <w:pPr>
              <w:spacing w:after="0" w:line="259" w:lineRule="auto"/>
              <w:jc w:val="right"/>
            </w:pPr>
            <w:r>
              <w:rPr>
                <w:b/>
                <w:color w:val="25324A"/>
                <w:sz w:val="18"/>
              </w:rPr>
              <w:t>R16,000</w:t>
            </w:r>
          </w:p>
        </w:tc>
      </w:tr>
    </w:tbl>
    <w:p>
      <w:pPr>
        <w:spacing w:after="0"/>
      </w:pPr>
    </w:p>
    <w:p>
      <w:pPr>
        <w:pStyle w:val="Heading2"/>
      </w:pPr>
      <w:r>
        <w:t>7.1 Ongoing support</w:t>
      </w:r>
    </w:p>
    <w:tbl>
      <w:tblPr>
        <w:tblStyle w:val="TableGrid"/>
        <w:tblW w:type="dxa" w:w="9360"/>
        <w:jc w:val="left"/>
        <w:tblLayout w:type="fixed"/>
        <w:tblLook w:firstColumn="1" w:firstRow="1" w:lastColumn="0" w:lastRow="0" w:noHBand="0" w:noVBand="1" w:val="04A0"/>
        <w:tblInd w:w="120" w:type="dxa"/>
      </w:tblPr>
      <w:tblGrid>
        <w:gridCol w:w="7000"/>
        <w:gridCol w:w="2360"/>
      </w:tblGrid>
      <w:tr>
        <w:trPr>
          <w:tblHeader w:val="true"/>
        </w:trPr>
        <w:tc>
          <w:tcPr>
            <w:tcW w:type="dxa" w:w="7000"/>
            <w:shd w:fill="2563EB"/>
            <w:tcMar>
              <w:top w:w="100" w:type="dxa"/>
              <w:start w:w="130" w:type="dxa"/>
              <w:bottom w:w="100" w:type="dxa"/>
              <w:end w:w="130" w:type="dxa"/>
            </w:tcMar>
            <w:vAlign w:val="center"/>
          </w:tcPr>
          <w:p>
            <w:pPr>
              <w:spacing w:after="0"/>
            </w:pPr>
            <w:r>
              <w:rPr>
                <w:b/>
                <w:color w:val="FFFFFF"/>
                <w:sz w:val="19"/>
              </w:rPr>
              <w:t>Support item</w:t>
            </w:r>
          </w:p>
        </w:tc>
        <w:tc>
          <w:tcPr>
            <w:tcW w:type="dxa" w:w="2360"/>
            <w:shd w:fill="2563EB"/>
            <w:tcMar>
              <w:top w:w="100" w:type="dxa"/>
              <w:start w:w="130" w:type="dxa"/>
              <w:bottom w:w="100" w:type="dxa"/>
              <w:end w:w="130" w:type="dxa"/>
            </w:tcMar>
            <w:vAlign w:val="center"/>
          </w:tcPr>
          <w:p>
            <w:pPr>
              <w:spacing w:after="0"/>
            </w:pPr>
            <w:r>
              <w:rPr>
                <w:b/>
                <w:color w:val="FFFFFF"/>
                <w:sz w:val="19"/>
              </w:rPr>
              <w:t>Amount</w:t>
            </w:r>
          </w:p>
        </w:tc>
      </w:tr>
      <w:tr>
        <w:tc>
          <w:tcPr>
            <w:tcW w:type="dxa" w:w="7000"/>
            <w:tcMar>
              <w:top w:w="100" w:type="dxa"/>
              <w:start w:w="130" w:type="dxa"/>
              <w:bottom w:w="100" w:type="dxa"/>
              <w:end w:w="130" w:type="dxa"/>
            </w:tcMar>
            <w:vAlign w:val="center"/>
          </w:tcPr>
          <w:p>
            <w:pPr>
              <w:spacing w:after="0" w:line="259" w:lineRule="auto"/>
            </w:pPr>
            <w:r>
              <w:rPr>
                <w:color w:val="25324A"/>
                <w:sz w:val="18"/>
              </w:rPr>
              <w:t>Post-launch support</w:t>
            </w:r>
          </w:p>
        </w:tc>
        <w:tc>
          <w:tcPr>
            <w:tcW w:type="dxa" w:w="2360"/>
            <w:tcMar>
              <w:top w:w="100" w:type="dxa"/>
              <w:start w:w="130" w:type="dxa"/>
              <w:bottom w:w="100" w:type="dxa"/>
              <w:end w:w="130" w:type="dxa"/>
            </w:tcMar>
            <w:vAlign w:val="center"/>
          </w:tcPr>
          <w:p>
            <w:pPr>
              <w:spacing w:after="0" w:line="259" w:lineRule="auto"/>
              <w:jc w:val="right"/>
            </w:pPr>
            <w:r>
              <w:rPr>
                <w:b/>
                <w:color w:val="25324A"/>
                <w:sz w:val="18"/>
              </w:rPr>
              <w:t>R400/month</w:t>
            </w:r>
          </w:p>
        </w:tc>
      </w:tr>
    </w:tbl>
    <w:p>
      <w:pPr>
        <w:spacing w:after="0"/>
      </w:pPr>
    </w:p>
    <w:p>
      <w:r>
        <w:t>Monthly support covers reasonable assistance and correction of reproducible defects within the delivered Phase 1 scope. New functionality, major platform changes, third-party changes, content administration and work outside scope are quoted separately.</w:t>
      </w:r>
    </w:p>
    <w:p>
      <w:pPr>
        <w:pStyle w:val="Heading2"/>
      </w:pPr>
      <w:r>
        <w:t>7.2 Third-party and recurring costs</w:t>
      </w:r>
    </w:p>
    <w:p>
      <w:r>
        <w:t>Xneelo hosting, domain fees, PayFast transaction fees, email/SMS services and any other third-party subscriptions or usage charges are excluded from the implementation price unless specifically stated otherwise. These costs are payable by the client.</w:t>
      </w:r>
    </w:p>
    <w:p>
      <w:r>
        <w:br w:type="page"/>
      </w:r>
    </w:p>
    <w:p>
      <w:pPr>
        <w:pStyle w:val="Heading1"/>
      </w:pPr>
      <w:r>
        <w:t>8. Payment and transaction model</w:t>
      </w:r>
    </w:p>
    <w:p>
      <w:r>
        <w:t>The following example is retained to illustrate the proposed commercial model. Final fees and settlement calculations must be confirmed in writing before production configuration.</w:t>
      </w:r>
    </w:p>
    <w:tbl>
      <w:tblPr>
        <w:tblStyle w:val="TableGrid"/>
        <w:tblW w:type="dxa" w:w="9360"/>
        <w:jc w:val="left"/>
        <w:tblLayout w:type="fixed"/>
        <w:tblLook w:firstColumn="1" w:firstRow="1" w:lastColumn="0" w:lastRow="0" w:noHBand="0" w:noVBand="1" w:val="04A0"/>
        <w:tblInd w:w="120" w:type="dxa"/>
      </w:tblPr>
      <w:tblGrid>
        <w:gridCol w:w="7000"/>
        <w:gridCol w:w="2360"/>
      </w:tblGrid>
      <w:tr>
        <w:trPr>
          <w:tblHeader w:val="true"/>
        </w:trPr>
        <w:tc>
          <w:tcPr>
            <w:tcW w:type="dxa" w:w="7000"/>
            <w:shd w:fill="5B2EE5"/>
            <w:tcMar>
              <w:top w:w="100" w:type="dxa"/>
              <w:start w:w="130" w:type="dxa"/>
              <w:bottom w:w="100" w:type="dxa"/>
              <w:end w:w="130" w:type="dxa"/>
            </w:tcMar>
            <w:vAlign w:val="center"/>
          </w:tcPr>
          <w:p>
            <w:pPr>
              <w:spacing w:after="0"/>
            </w:pPr>
            <w:r>
              <w:rPr>
                <w:b/>
                <w:color w:val="FFFFFF"/>
                <w:sz w:val="19"/>
              </w:rPr>
              <w:t>Example: R100 ticket</w:t>
            </w:r>
          </w:p>
        </w:tc>
        <w:tc>
          <w:tcPr>
            <w:tcW w:type="dxa" w:w="2360"/>
            <w:shd w:fill="5B2EE5"/>
            <w:tcMar>
              <w:top w:w="100" w:type="dxa"/>
              <w:start w:w="130" w:type="dxa"/>
              <w:bottom w:w="100" w:type="dxa"/>
              <w:end w:w="130" w:type="dxa"/>
            </w:tcMar>
            <w:vAlign w:val="center"/>
          </w:tcPr>
          <w:p>
            <w:pPr>
              <w:spacing w:after="0"/>
            </w:pPr>
            <w:r>
              <w:rPr>
                <w:b/>
                <w:color w:val="FFFFFF"/>
                <w:sz w:val="19"/>
              </w:rPr>
              <w:t>Amount</w:t>
            </w:r>
          </w:p>
        </w:tc>
      </w:tr>
      <w:tr>
        <w:tc>
          <w:tcPr>
            <w:tcW w:type="dxa" w:w="7000"/>
            <w:tcMar>
              <w:top w:w="100" w:type="dxa"/>
              <w:start w:w="130" w:type="dxa"/>
              <w:bottom w:w="100" w:type="dxa"/>
              <w:end w:w="130" w:type="dxa"/>
            </w:tcMar>
            <w:vAlign w:val="center"/>
          </w:tcPr>
          <w:p>
            <w:pPr>
              <w:spacing w:after="0" w:line="259" w:lineRule="auto"/>
            </w:pPr>
            <w:r>
              <w:rPr>
                <w:color w:val="25324A"/>
                <w:sz w:val="18"/>
              </w:rPr>
              <w:t>Ticket price</w:t>
            </w:r>
          </w:p>
        </w:tc>
        <w:tc>
          <w:tcPr>
            <w:tcW w:type="dxa" w:w="2360"/>
            <w:tcMar>
              <w:top w:w="100" w:type="dxa"/>
              <w:start w:w="130" w:type="dxa"/>
              <w:bottom w:w="100" w:type="dxa"/>
              <w:end w:w="130" w:type="dxa"/>
            </w:tcMar>
            <w:vAlign w:val="center"/>
          </w:tcPr>
          <w:p>
            <w:pPr>
              <w:spacing w:after="0" w:line="259" w:lineRule="auto"/>
              <w:jc w:val="right"/>
            </w:pPr>
            <w:r>
              <w:rPr>
                <w:b/>
                <w:color w:val="25324A"/>
                <w:sz w:val="18"/>
              </w:rPr>
              <w:t>R100.00</w:t>
            </w:r>
          </w:p>
        </w:tc>
      </w:tr>
      <w:tr>
        <w:tc>
          <w:tcPr>
            <w:tcW w:type="dxa" w:w="7000"/>
            <w:shd w:fill="F8FAFD"/>
            <w:tcMar>
              <w:top w:w="100" w:type="dxa"/>
              <w:start w:w="130" w:type="dxa"/>
              <w:bottom w:w="100" w:type="dxa"/>
              <w:end w:w="130" w:type="dxa"/>
            </w:tcMar>
            <w:vAlign w:val="center"/>
          </w:tcPr>
          <w:p>
            <w:pPr>
              <w:spacing w:after="0" w:line="259" w:lineRule="auto"/>
            </w:pPr>
            <w:r>
              <w:rPr>
                <w:color w:val="25324A"/>
                <w:sz w:val="18"/>
              </w:rPr>
              <w:t>HangOut booking fee charged to customer</w:t>
            </w:r>
          </w:p>
        </w:tc>
        <w:tc>
          <w:tcPr>
            <w:tcW w:type="dxa" w:w="2360"/>
            <w:shd w:fill="F8FAFD"/>
            <w:tcMar>
              <w:top w:w="100" w:type="dxa"/>
              <w:start w:w="130" w:type="dxa"/>
              <w:bottom w:w="100" w:type="dxa"/>
              <w:end w:w="130" w:type="dxa"/>
            </w:tcMar>
            <w:vAlign w:val="center"/>
          </w:tcPr>
          <w:p>
            <w:pPr>
              <w:spacing w:after="0" w:line="259" w:lineRule="auto"/>
              <w:jc w:val="right"/>
            </w:pPr>
            <w:r>
              <w:rPr>
                <w:b/>
                <w:color w:val="25324A"/>
                <w:sz w:val="18"/>
              </w:rPr>
              <w:t>R5.00</w:t>
            </w:r>
          </w:p>
        </w:tc>
      </w:tr>
      <w:tr>
        <w:tc>
          <w:tcPr>
            <w:tcW w:type="dxa" w:w="7000"/>
            <w:tcMar>
              <w:top w:w="100" w:type="dxa"/>
              <w:start w:w="130" w:type="dxa"/>
              <w:bottom w:w="100" w:type="dxa"/>
              <w:end w:w="130" w:type="dxa"/>
            </w:tcMar>
            <w:vAlign w:val="center"/>
          </w:tcPr>
          <w:p>
            <w:pPr>
              <w:spacing w:after="0" w:line="259" w:lineRule="auto"/>
            </w:pPr>
            <w:r>
              <w:rPr>
                <w:color w:val="25324A"/>
                <w:sz w:val="18"/>
              </w:rPr>
              <w:t>Customer pays</w:t>
            </w:r>
          </w:p>
        </w:tc>
        <w:tc>
          <w:tcPr>
            <w:tcW w:type="dxa" w:w="2360"/>
            <w:tcMar>
              <w:top w:w="100" w:type="dxa"/>
              <w:start w:w="130" w:type="dxa"/>
              <w:bottom w:w="100" w:type="dxa"/>
              <w:end w:w="130" w:type="dxa"/>
            </w:tcMar>
            <w:vAlign w:val="center"/>
          </w:tcPr>
          <w:p>
            <w:pPr>
              <w:spacing w:after="0" w:line="259" w:lineRule="auto"/>
              <w:jc w:val="right"/>
            </w:pPr>
            <w:r>
              <w:rPr>
                <w:b/>
                <w:color w:val="25324A"/>
                <w:sz w:val="18"/>
              </w:rPr>
              <w:t>R105.00</w:t>
            </w:r>
          </w:p>
        </w:tc>
      </w:tr>
      <w:tr>
        <w:tc>
          <w:tcPr>
            <w:tcW w:type="dxa" w:w="7000"/>
            <w:shd w:fill="F8FAFD"/>
            <w:tcMar>
              <w:top w:w="100" w:type="dxa"/>
              <w:start w:w="130" w:type="dxa"/>
              <w:bottom w:w="100" w:type="dxa"/>
              <w:end w:w="130" w:type="dxa"/>
            </w:tcMar>
            <w:vAlign w:val="center"/>
          </w:tcPr>
          <w:p>
            <w:pPr>
              <w:spacing w:after="0" w:line="259" w:lineRule="auto"/>
            </w:pPr>
            <w:r>
              <w:rPr>
                <w:color w:val="25324A"/>
                <w:sz w:val="18"/>
              </w:rPr>
              <w:t>HangOut platform receives</w:t>
            </w:r>
          </w:p>
        </w:tc>
        <w:tc>
          <w:tcPr>
            <w:tcW w:type="dxa" w:w="2360"/>
            <w:shd w:fill="F8FAFD"/>
            <w:tcMar>
              <w:top w:w="100" w:type="dxa"/>
              <w:start w:w="130" w:type="dxa"/>
              <w:bottom w:w="100" w:type="dxa"/>
              <w:end w:w="130" w:type="dxa"/>
            </w:tcMar>
            <w:vAlign w:val="center"/>
          </w:tcPr>
          <w:p>
            <w:pPr>
              <w:spacing w:after="0" w:line="259" w:lineRule="auto"/>
              <w:jc w:val="right"/>
            </w:pPr>
            <w:r>
              <w:rPr>
                <w:b/>
                <w:color w:val="25324A"/>
                <w:sz w:val="18"/>
              </w:rPr>
              <w:t>R5.00</w:t>
            </w:r>
          </w:p>
        </w:tc>
      </w:tr>
      <w:tr>
        <w:tc>
          <w:tcPr>
            <w:tcW w:type="dxa" w:w="7000"/>
            <w:tcMar>
              <w:top w:w="100" w:type="dxa"/>
              <w:start w:w="130" w:type="dxa"/>
              <w:bottom w:w="100" w:type="dxa"/>
              <w:end w:w="130" w:type="dxa"/>
            </w:tcMar>
            <w:vAlign w:val="center"/>
          </w:tcPr>
          <w:p>
            <w:pPr>
              <w:spacing w:after="0" w:line="259" w:lineRule="auto"/>
            </w:pPr>
            <w:r>
              <w:rPr>
                <w:color w:val="25324A"/>
                <w:sz w:val="18"/>
              </w:rPr>
              <w:t>Developer software licence fee (4.5%)</w:t>
            </w:r>
          </w:p>
        </w:tc>
        <w:tc>
          <w:tcPr>
            <w:tcW w:type="dxa" w:w="2360"/>
            <w:tcMar>
              <w:top w:w="100" w:type="dxa"/>
              <w:start w:w="130" w:type="dxa"/>
              <w:bottom w:w="100" w:type="dxa"/>
              <w:end w:w="130" w:type="dxa"/>
            </w:tcMar>
            <w:vAlign w:val="center"/>
          </w:tcPr>
          <w:p>
            <w:pPr>
              <w:spacing w:after="0" w:line="259" w:lineRule="auto"/>
              <w:jc w:val="right"/>
            </w:pPr>
            <w:r>
              <w:rPr>
                <w:b/>
                <w:color w:val="25324A"/>
                <w:sz w:val="18"/>
              </w:rPr>
              <w:t>R4.50</w:t>
            </w:r>
          </w:p>
        </w:tc>
      </w:tr>
      <w:tr>
        <w:tc>
          <w:tcPr>
            <w:tcW w:type="dxa" w:w="7000"/>
            <w:shd w:fill="F8FAFD"/>
            <w:tcMar>
              <w:top w:w="100" w:type="dxa"/>
              <w:start w:w="130" w:type="dxa"/>
              <w:bottom w:w="100" w:type="dxa"/>
              <w:end w:w="130" w:type="dxa"/>
            </w:tcMar>
            <w:vAlign w:val="center"/>
          </w:tcPr>
          <w:p>
            <w:pPr>
              <w:spacing w:after="0" w:line="259" w:lineRule="auto"/>
            </w:pPr>
            <w:r>
              <w:rPr>
                <w:color w:val="25324A"/>
                <w:sz w:val="18"/>
              </w:rPr>
              <w:t>Illustrative PayFast fee</w:t>
            </w:r>
          </w:p>
        </w:tc>
        <w:tc>
          <w:tcPr>
            <w:tcW w:type="dxa" w:w="2360"/>
            <w:shd w:fill="F8FAFD"/>
            <w:tcMar>
              <w:top w:w="100" w:type="dxa"/>
              <w:start w:w="130" w:type="dxa"/>
              <w:bottom w:w="100" w:type="dxa"/>
              <w:end w:w="130" w:type="dxa"/>
            </w:tcMar>
            <w:vAlign w:val="center"/>
          </w:tcPr>
          <w:p>
            <w:pPr>
              <w:spacing w:after="0" w:line="259" w:lineRule="auto"/>
              <w:jc w:val="right"/>
            </w:pPr>
            <w:r>
              <w:rPr>
                <w:b/>
                <w:color w:val="25324A"/>
                <w:sz w:val="18"/>
              </w:rPr>
              <w:t>R5.36</w:t>
            </w:r>
          </w:p>
        </w:tc>
      </w:tr>
      <w:tr>
        <w:tc>
          <w:tcPr>
            <w:tcW w:type="dxa" w:w="7000"/>
            <w:tcMar>
              <w:top w:w="100" w:type="dxa"/>
              <w:start w:w="130" w:type="dxa"/>
              <w:bottom w:w="100" w:type="dxa"/>
              <w:end w:w="130" w:type="dxa"/>
            </w:tcMar>
            <w:vAlign w:val="center"/>
          </w:tcPr>
          <w:p>
            <w:pPr>
              <w:spacing w:after="0" w:line="259" w:lineRule="auto"/>
            </w:pPr>
            <w:r>
              <w:rPr>
                <w:color w:val="25324A"/>
                <w:sz w:val="18"/>
              </w:rPr>
              <w:t>Illustrative organiser settlement</w:t>
            </w:r>
          </w:p>
        </w:tc>
        <w:tc>
          <w:tcPr>
            <w:tcW w:type="dxa" w:w="2360"/>
            <w:tcMar>
              <w:top w:w="100" w:type="dxa"/>
              <w:start w:w="130" w:type="dxa"/>
              <w:bottom w:w="100" w:type="dxa"/>
              <w:end w:w="130" w:type="dxa"/>
            </w:tcMar>
            <w:vAlign w:val="center"/>
          </w:tcPr>
          <w:p>
            <w:pPr>
              <w:spacing w:after="0" w:line="259" w:lineRule="auto"/>
              <w:jc w:val="right"/>
            </w:pPr>
            <w:r>
              <w:rPr>
                <w:b/>
                <w:color w:val="25324A"/>
                <w:sz w:val="18"/>
              </w:rPr>
              <w:t>R90.14</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AF5FF"/>
          </w:tcPr>
          <w:p>
            <w:pPr>
              <w:spacing w:after="0"/>
            </w:pPr>
            <w:r>
              <w:rPr>
                <w:b/>
                <w:color w:val="2563EB"/>
                <w:sz w:val="18"/>
              </w:rPr>
              <w:t xml:space="preserve">FEE CONFIRMATION REQUIRED  </w:t>
            </w:r>
            <w:r>
              <w:rPr>
                <w:color w:val="25324A"/>
                <w:sz w:val="20"/>
              </w:rPr>
              <w:t>PayFast pricing may change and can depend on the merchant account and transaction type. The R5 booking fee, 4.5% developer fee, fee payer and organiser settlement timing must be approved before launch.</w:t>
            </w:r>
          </w:p>
        </w:tc>
      </w:tr>
    </w:tbl>
    <w:p>
      <w:pPr>
        <w:spacing w:after="0"/>
      </w:pPr>
    </w:p>
    <w:p>
      <w:pPr>
        <w:pStyle w:val="Heading2"/>
      </w:pPr>
      <w:r>
        <w:t>8.1 Proposed project payment terms</w:t>
      </w:r>
    </w:p>
    <w:tbl>
      <w:tblPr>
        <w:tblStyle w:val="TableGrid"/>
        <w:tblW w:type="dxa" w:w="9360"/>
        <w:jc w:val="left"/>
        <w:tblLayout w:type="fixed"/>
        <w:tblLook w:firstColumn="1" w:firstRow="1" w:lastColumn="0" w:lastRow="0" w:noHBand="0" w:noVBand="1" w:val="04A0"/>
        <w:tblInd w:w="120" w:type="dxa"/>
      </w:tblPr>
      <w:tblGrid>
        <w:gridCol w:w="6500"/>
        <w:gridCol w:w="2860"/>
      </w:tblGrid>
      <w:tr>
        <w:trPr>
          <w:tblHeader w:val="true"/>
        </w:trPr>
        <w:tc>
          <w:tcPr>
            <w:tcW w:type="dxa" w:w="6500"/>
            <w:shd w:fill="17233C"/>
            <w:tcMar>
              <w:top w:w="100" w:type="dxa"/>
              <w:start w:w="130" w:type="dxa"/>
              <w:bottom w:w="100" w:type="dxa"/>
              <w:end w:w="130" w:type="dxa"/>
            </w:tcMar>
            <w:vAlign w:val="center"/>
          </w:tcPr>
          <w:p>
            <w:pPr>
              <w:spacing w:after="0"/>
            </w:pPr>
            <w:r>
              <w:rPr>
                <w:b/>
                <w:color w:val="FFFFFF"/>
                <w:sz w:val="19"/>
              </w:rPr>
              <w:t>Milestone</w:t>
            </w:r>
          </w:p>
        </w:tc>
        <w:tc>
          <w:tcPr>
            <w:tcW w:type="dxa" w:w="2860"/>
            <w:shd w:fill="17233C"/>
            <w:tcMar>
              <w:top w:w="100" w:type="dxa"/>
              <w:start w:w="130" w:type="dxa"/>
              <w:bottom w:w="100" w:type="dxa"/>
              <w:end w:w="130" w:type="dxa"/>
            </w:tcMar>
            <w:vAlign w:val="center"/>
          </w:tcPr>
          <w:p>
            <w:pPr>
              <w:spacing w:after="0"/>
            </w:pPr>
            <w:r>
              <w:rPr>
                <w:b/>
                <w:color w:val="FFFFFF"/>
                <w:sz w:val="19"/>
              </w:rPr>
              <w:t>Payment</w:t>
            </w:r>
          </w:p>
        </w:tc>
      </w:tr>
      <w:tr>
        <w:tc>
          <w:tcPr>
            <w:tcW w:type="dxa" w:w="6500"/>
            <w:tcMar>
              <w:top w:w="100" w:type="dxa"/>
              <w:start w:w="130" w:type="dxa"/>
              <w:bottom w:w="100" w:type="dxa"/>
              <w:end w:w="130" w:type="dxa"/>
            </w:tcMar>
            <w:vAlign w:val="center"/>
          </w:tcPr>
          <w:p>
            <w:pPr>
              <w:spacing w:after="0" w:line="259" w:lineRule="auto"/>
            </w:pPr>
            <w:r>
              <w:rPr>
                <w:color w:val="25324A"/>
                <w:sz w:val="18"/>
              </w:rPr>
              <w:t>Approval and project commencement</w:t>
            </w:r>
          </w:p>
        </w:tc>
        <w:tc>
          <w:tcPr>
            <w:tcW w:type="dxa" w:w="2860"/>
            <w:tcMar>
              <w:top w:w="100" w:type="dxa"/>
              <w:start w:w="130" w:type="dxa"/>
              <w:bottom w:w="100" w:type="dxa"/>
              <w:end w:w="130" w:type="dxa"/>
            </w:tcMar>
            <w:vAlign w:val="center"/>
          </w:tcPr>
          <w:p>
            <w:pPr>
              <w:spacing w:after="0" w:line="259" w:lineRule="auto"/>
              <w:jc w:val="right"/>
            </w:pPr>
            <w:r>
              <w:rPr>
                <w:b/>
                <w:color w:val="25324A"/>
                <w:sz w:val="18"/>
              </w:rPr>
              <w:t>50% - R8,000</w:t>
            </w:r>
          </w:p>
        </w:tc>
      </w:tr>
      <w:tr>
        <w:tc>
          <w:tcPr>
            <w:tcW w:type="dxa" w:w="6500"/>
            <w:shd w:fill="F8FAFD"/>
            <w:tcMar>
              <w:top w:w="100" w:type="dxa"/>
              <w:start w:w="130" w:type="dxa"/>
              <w:bottom w:w="100" w:type="dxa"/>
              <w:end w:w="130" w:type="dxa"/>
            </w:tcMar>
            <w:vAlign w:val="center"/>
          </w:tcPr>
          <w:p>
            <w:pPr>
              <w:spacing w:after="0" w:line="259" w:lineRule="auto"/>
            </w:pPr>
            <w:r>
              <w:rPr>
                <w:color w:val="25324A"/>
                <w:sz w:val="18"/>
              </w:rPr>
              <w:t>Release candidate ready for client review</w:t>
            </w:r>
          </w:p>
        </w:tc>
        <w:tc>
          <w:tcPr>
            <w:tcW w:type="dxa" w:w="2860"/>
            <w:shd w:fill="F8FAFD"/>
            <w:tcMar>
              <w:top w:w="100" w:type="dxa"/>
              <w:start w:w="130" w:type="dxa"/>
              <w:bottom w:w="100" w:type="dxa"/>
              <w:end w:w="130" w:type="dxa"/>
            </w:tcMar>
            <w:vAlign w:val="center"/>
          </w:tcPr>
          <w:p>
            <w:pPr>
              <w:spacing w:after="0" w:line="259" w:lineRule="auto"/>
              <w:jc w:val="right"/>
            </w:pPr>
            <w:r>
              <w:rPr>
                <w:b/>
                <w:color w:val="25324A"/>
                <w:sz w:val="18"/>
              </w:rPr>
              <w:t>30% - R4,800</w:t>
            </w:r>
          </w:p>
        </w:tc>
      </w:tr>
      <w:tr>
        <w:tc>
          <w:tcPr>
            <w:tcW w:type="dxa" w:w="6500"/>
            <w:tcMar>
              <w:top w:w="100" w:type="dxa"/>
              <w:start w:w="130" w:type="dxa"/>
              <w:bottom w:w="100" w:type="dxa"/>
              <w:end w:w="130" w:type="dxa"/>
            </w:tcMar>
            <w:vAlign w:val="center"/>
          </w:tcPr>
          <w:p>
            <w:pPr>
              <w:spacing w:after="0" w:line="259" w:lineRule="auto"/>
            </w:pPr>
            <w:r>
              <w:rPr>
                <w:color w:val="25324A"/>
                <w:sz w:val="18"/>
              </w:rPr>
              <w:t>Production launch and handover</w:t>
            </w:r>
          </w:p>
        </w:tc>
        <w:tc>
          <w:tcPr>
            <w:tcW w:type="dxa" w:w="2860"/>
            <w:tcMar>
              <w:top w:w="100" w:type="dxa"/>
              <w:start w:w="130" w:type="dxa"/>
              <w:bottom w:w="100" w:type="dxa"/>
              <w:end w:w="130" w:type="dxa"/>
            </w:tcMar>
            <w:vAlign w:val="center"/>
          </w:tcPr>
          <w:p>
            <w:pPr>
              <w:spacing w:after="0" w:line="259" w:lineRule="auto"/>
              <w:jc w:val="right"/>
            </w:pPr>
            <w:r>
              <w:rPr>
                <w:b/>
                <w:color w:val="25324A"/>
                <w:sz w:val="18"/>
              </w:rPr>
              <w:t>20% - R3,200</w:t>
            </w:r>
          </w:p>
        </w:tc>
      </w:tr>
    </w:tbl>
    <w:p>
      <w:pPr>
        <w:spacing w:after="0"/>
      </w:pPr>
    </w:p>
    <w:p>
      <w:r>
        <w:t>Invoices are payable within 7 calendar days unless agreed otherwise in writing. Work begins after written acceptance and receipt of the deposit.</w:t>
      </w:r>
    </w:p>
    <w:p>
      <w:r>
        <w:br w:type="page"/>
      </w:r>
    </w:p>
    <w:p>
      <w:pPr>
        <w:pStyle w:val="Heading1"/>
      </w:pPr>
      <w:r>
        <w:t>9. Scope controls and exclusions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DEEEE"/>
          </w:tcPr>
          <w:p>
            <w:pPr>
              <w:spacing w:after="0"/>
            </w:pPr>
            <w:r>
              <w:rPr>
                <w:b/>
                <w:color w:val="A83232"/>
                <w:sz w:val="18"/>
              </w:rPr>
              <w:t xml:space="preserve">OUTSIDE SCOPE  </w:t>
            </w:r>
            <w:r>
              <w:rPr>
                <w:color w:val="25324A"/>
                <w:sz w:val="20"/>
              </w:rPr>
              <w:t>Anything not expressly included in Sections 2 to 6 is outside the scope of work and will be quoted separately before any work begins.</w:t>
            </w:r>
          </w:p>
        </w:tc>
      </w:tr>
    </w:tbl>
    <w:p>
      <w:pPr>
        <w:spacing w:after="0"/>
      </w:pPr>
    </w:p>
    <w:p>
      <w:pPr>
        <w:pStyle w:val="Heading2"/>
      </w:pPr>
      <w:r>
        <w:t>9.1 Additions and questions</w:t>
      </w:r>
    </w:p>
    <w:p>
      <w:r>
        <w:t>Any additions, requested changes or questions must be raised with KodeIQ in writing. KodeIQ will confirm whether the request is included, requires clarification or falls outside scope. No additional work will begin until the client accepts the related written quotation and any timeline adjustment.</w:t>
      </w:r>
    </w:p>
    <w:p>
      <w:pPr>
        <w:pStyle w:val="Heading2"/>
      </w:pPr>
      <w:r>
        <w:t>9.2 Specifically excluded</w:t>
      </w:r>
    </w:p>
    <w:p>
      <w:pPr>
        <w:pStyle w:val="ListBullet"/>
      </w:pPr>
      <w:r>
        <w:t>Progressive Web App (PWA), Android app, iPhone app or app-store submission.</w:t>
      </w:r>
    </w:p>
    <w:p>
      <w:pPr>
        <w:pStyle w:val="ListBullet"/>
      </w:pPr>
      <w:r>
        <w:t>Features, pages or roles not listed in this proposal.</w:t>
      </w:r>
    </w:p>
    <w:p>
      <w:pPr>
        <w:pStyle w:val="ListBullet"/>
      </w:pPr>
      <w:r>
        <w:t>Advanced accounting, tax, VAT, reconciliation, payroll or accounting-software integrations.</w:t>
      </w:r>
    </w:p>
    <w:p>
      <w:pPr>
        <w:pStyle w:val="ListBullet"/>
      </w:pPr>
      <w:r>
        <w:t>Custom CRM, chat, loyalty, subscription, marketing automation or advanced analytics.</w:t>
      </w:r>
    </w:p>
    <w:p>
      <w:pPr>
        <w:pStyle w:val="ListBullet"/>
      </w:pPr>
      <w:r>
        <w:t>Third-party integrations other than the agreed PayFast implementation.</w:t>
      </w:r>
    </w:p>
    <w:p>
      <w:pPr>
        <w:pStyle w:val="ListBullet"/>
      </w:pPr>
      <w:r>
        <w:t>Bulk content entry, copywriting, photography or ongoing event administration.</w:t>
      </w:r>
    </w:p>
    <w:p>
      <w:pPr>
        <w:pStyle w:val="ListBullet"/>
      </w:pPr>
      <w:r>
        <w:t>Legal drafting, compliance certification, penetration testing or security audits.</w:t>
      </w:r>
    </w:p>
    <w:p>
      <w:pPr>
        <w:pStyle w:val="ListBullet"/>
      </w:pPr>
      <w:r>
        <w:t>Ongoing enhancements, maintenance or support beyond the R400/month support description.</w:t>
      </w:r>
    </w:p>
    <w:p>
      <w:pPr>
        <w:pStyle w:val="Heading2"/>
      </w:pPr>
      <w:r>
        <w:t>9.3 Client responsibilities</w:t>
      </w:r>
    </w:p>
    <w:p>
      <w:pPr>
        <w:pStyle w:val="ListBullet"/>
      </w:pPr>
      <w:r>
        <w:t>Provide final branding, content, event data and required legal policies.</w:t>
      </w:r>
    </w:p>
    <w:p>
      <w:pPr>
        <w:pStyle w:val="ListBullet"/>
      </w:pPr>
      <w:r>
        <w:t>Provide or approve Xneelo, domain, database, email and PayFast account access.</w:t>
      </w:r>
    </w:p>
    <w:p>
      <w:pPr>
        <w:pStyle w:val="ListBullet"/>
      </w:pPr>
      <w:r>
        <w:t>Nominate one authorised person to consolidate feedback and approve the release.</w:t>
      </w:r>
    </w:p>
    <w:p>
      <w:pPr>
        <w:pStyle w:val="ListBullet"/>
      </w:pPr>
      <w:r>
        <w:t>Respond to questions and review requests promptly to avoid schedule delays.</w:t>
      </w:r>
    </w:p>
    <w:p>
      <w:pPr>
        <w:pStyle w:val="ListBullet"/>
      </w:pPr>
      <w:r>
        <w:t>Approve all customer terms, privacy, cancellation, refund and payout rules.</w:t>
      </w:r>
    </w:p>
    <w:p>
      <w:r>
        <w:br w:type="page"/>
      </w:r>
    </w:p>
    <w:p>
      <w:pPr>
        <w:pStyle w:val="Heading1"/>
      </w:pPr>
      <w:r>
        <w:t>10. Questions to confirm before commencement</w:t>
      </w:r>
    </w:p>
    <w:p>
      <w:r>
        <w:t>The following points must be confirmed before the final production build. They do not expand the scope; they define how the included workflows will operate.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7233C"/>
            <w:tcMar>
              <w:top w:w="100" w:type="dxa"/>
              <w:start w:w="130" w:type="dxa"/>
              <w:bottom w:w="100" w:type="dxa"/>
              <w:end w:w="130" w:type="dxa"/>
            </w:tcMar>
            <w:vAlign w:val="center"/>
          </w:tcPr>
          <w:p>
            <w:pPr>
              <w:spacing w:after="0"/>
            </w:pPr>
            <w:r>
              <w:rPr>
                <w:b/>
                <w:color w:val="FFFFFF"/>
                <w:sz w:val="19"/>
              </w:rPr>
              <w:t>Topic</w:t>
            </w:r>
          </w:p>
        </w:tc>
        <w:tc>
          <w:tcPr>
            <w:tcW w:type="dxa" w:w="7060"/>
            <w:shd w:fill="17233C"/>
            <w:tcMar>
              <w:top w:w="100" w:type="dxa"/>
              <w:start w:w="130" w:type="dxa"/>
              <w:bottom w:w="100" w:type="dxa"/>
              <w:end w:w="130" w:type="dxa"/>
            </w:tcMar>
            <w:vAlign w:val="center"/>
          </w:tcPr>
          <w:p>
            <w:pPr>
              <w:spacing w:after="0"/>
            </w:pPr>
            <w:r>
              <w:rPr>
                <w:b/>
                <w:color w:val="FFFFFF"/>
                <w:sz w:val="19"/>
              </w:rPr>
              <w:t>Confirmation required</w:t>
            </w:r>
          </w:p>
        </w:tc>
      </w:tr>
      <w:tr>
        <w:tc>
          <w:tcPr>
            <w:tcW w:type="dxa" w:w="2300"/>
            <w:tcMar>
              <w:top w:w="100" w:type="dxa"/>
              <w:start w:w="130" w:type="dxa"/>
              <w:bottom w:w="100" w:type="dxa"/>
              <w:end w:w="130" w:type="dxa"/>
            </w:tcMar>
            <w:vAlign w:val="center"/>
          </w:tcPr>
          <w:p>
            <w:pPr>
              <w:spacing w:after="0" w:line="259" w:lineRule="auto"/>
            </w:pPr>
            <w:r>
              <w:rPr>
                <w:color w:val="25324A"/>
                <w:sz w:val="18"/>
              </w:rPr>
              <w:t>Brand and content</w:t>
            </w:r>
          </w:p>
        </w:tc>
        <w:tc>
          <w:tcPr>
            <w:tcW w:type="dxa" w:w="7060"/>
            <w:tcMar>
              <w:top w:w="100" w:type="dxa"/>
              <w:start w:w="130" w:type="dxa"/>
              <w:bottom w:w="100" w:type="dxa"/>
              <w:end w:w="130" w:type="dxa"/>
            </w:tcMar>
            <w:vAlign w:val="center"/>
          </w:tcPr>
          <w:p>
            <w:pPr>
              <w:spacing w:after="0" w:line="259" w:lineRule="auto"/>
            </w:pPr>
            <w:r>
              <w:rPr>
                <w:color w:val="25324A"/>
                <w:sz w:val="18"/>
              </w:rPr>
              <w:t>Is the current HangOut branding final, and who supplies event images, text, terms and privacy content?</w:t>
            </w:r>
          </w:p>
        </w:tc>
      </w:tr>
      <w:tr>
        <w:tc>
          <w:tcPr>
            <w:tcW w:type="dxa" w:w="2300"/>
            <w:shd w:fill="F8FAFD"/>
            <w:tcMar>
              <w:top w:w="100" w:type="dxa"/>
              <w:start w:w="130" w:type="dxa"/>
              <w:bottom w:w="100" w:type="dxa"/>
              <w:end w:w="130" w:type="dxa"/>
            </w:tcMar>
            <w:vAlign w:val="center"/>
          </w:tcPr>
          <w:p>
            <w:pPr>
              <w:spacing w:after="0" w:line="259" w:lineRule="auto"/>
            </w:pPr>
            <w:r>
              <w:rPr>
                <w:color w:val="25324A"/>
                <w:sz w:val="18"/>
              </w:rPr>
              <w:t>Customer access</w:t>
            </w:r>
          </w:p>
        </w:tc>
        <w:tc>
          <w:tcPr>
            <w:tcW w:type="dxa" w:w="7060"/>
            <w:shd w:fill="F8FAFD"/>
            <w:tcMar>
              <w:top w:w="100" w:type="dxa"/>
              <w:start w:w="130" w:type="dxa"/>
              <w:bottom w:w="100" w:type="dxa"/>
              <w:end w:w="130" w:type="dxa"/>
            </w:tcMar>
            <w:vAlign w:val="center"/>
          </w:tcPr>
          <w:p>
            <w:pPr>
              <w:spacing w:after="0" w:line="259" w:lineRule="auto"/>
            </w:pPr>
            <w:r>
              <w:rPr>
                <w:color w:val="25324A"/>
                <w:sz w:val="18"/>
              </w:rPr>
              <w:t>Is customer registration email/password only, and what profile fields are required?</w:t>
            </w:r>
          </w:p>
        </w:tc>
      </w:tr>
      <w:tr>
        <w:tc>
          <w:tcPr>
            <w:tcW w:type="dxa" w:w="2300"/>
            <w:tcMar>
              <w:top w:w="100" w:type="dxa"/>
              <w:start w:w="130" w:type="dxa"/>
              <w:bottom w:w="100" w:type="dxa"/>
              <w:end w:w="130" w:type="dxa"/>
            </w:tcMar>
            <w:vAlign w:val="center"/>
          </w:tcPr>
          <w:p>
            <w:pPr>
              <w:spacing w:after="0" w:line="259" w:lineRule="auto"/>
            </w:pPr>
            <w:r>
              <w:rPr>
                <w:color w:val="25324A"/>
                <w:sz w:val="18"/>
              </w:rPr>
              <w:t>Host approval</w:t>
            </w:r>
          </w:p>
        </w:tc>
        <w:tc>
          <w:tcPr>
            <w:tcW w:type="dxa" w:w="7060"/>
            <w:tcMar>
              <w:top w:w="100" w:type="dxa"/>
              <w:start w:w="130" w:type="dxa"/>
              <w:bottom w:w="100" w:type="dxa"/>
              <w:end w:w="130" w:type="dxa"/>
            </w:tcMar>
            <w:vAlign w:val="center"/>
          </w:tcPr>
          <w:p>
            <w:pPr>
              <w:spacing w:after="0" w:line="259" w:lineRule="auto"/>
            </w:pPr>
            <w:r>
              <w:rPr>
                <w:color w:val="25324A"/>
                <w:sz w:val="18"/>
              </w:rPr>
              <w:t>Are host accounts approved manually by an admin before they can create events?</w:t>
            </w:r>
          </w:p>
        </w:tc>
      </w:tr>
      <w:tr>
        <w:tc>
          <w:tcPr>
            <w:tcW w:type="dxa" w:w="2300"/>
            <w:shd w:fill="F8FAFD"/>
            <w:tcMar>
              <w:top w:w="100" w:type="dxa"/>
              <w:start w:w="130" w:type="dxa"/>
              <w:bottom w:w="100" w:type="dxa"/>
              <w:end w:w="130" w:type="dxa"/>
            </w:tcMar>
            <w:vAlign w:val="center"/>
          </w:tcPr>
          <w:p>
            <w:pPr>
              <w:spacing w:after="0" w:line="259" w:lineRule="auto"/>
            </w:pPr>
            <w:r>
              <w:rPr>
                <w:color w:val="25324A"/>
                <w:sz w:val="18"/>
              </w:rPr>
              <w:t>Event publishing</w:t>
            </w:r>
          </w:p>
        </w:tc>
        <w:tc>
          <w:tcPr>
            <w:tcW w:type="dxa" w:w="7060"/>
            <w:shd w:fill="F8FAFD"/>
            <w:tcMar>
              <w:top w:w="100" w:type="dxa"/>
              <w:start w:w="130" w:type="dxa"/>
              <w:bottom w:w="100" w:type="dxa"/>
              <w:end w:w="130" w:type="dxa"/>
            </w:tcMar>
            <w:vAlign w:val="center"/>
          </w:tcPr>
          <w:p>
            <w:pPr>
              <w:spacing w:after="0" w:line="259" w:lineRule="auto"/>
            </w:pPr>
            <w:r>
              <w:rPr>
                <w:color w:val="25324A"/>
                <w:sz w:val="18"/>
              </w:rPr>
              <w:t>Must every event be approved by admin before appearing on the main events page?</w:t>
            </w:r>
          </w:p>
        </w:tc>
      </w:tr>
      <w:tr>
        <w:tc>
          <w:tcPr>
            <w:tcW w:type="dxa" w:w="2300"/>
            <w:tcMar>
              <w:top w:w="100" w:type="dxa"/>
              <w:start w:w="130" w:type="dxa"/>
              <w:bottom w:w="100" w:type="dxa"/>
              <w:end w:w="130" w:type="dxa"/>
            </w:tcMar>
            <w:vAlign w:val="center"/>
          </w:tcPr>
          <w:p>
            <w:pPr>
              <w:spacing w:after="0" w:line="259" w:lineRule="auto"/>
            </w:pPr>
            <w:r>
              <w:rPr>
                <w:color w:val="25324A"/>
                <w:sz w:val="18"/>
              </w:rPr>
              <w:t>Ticketing</w:t>
            </w:r>
          </w:p>
        </w:tc>
        <w:tc>
          <w:tcPr>
            <w:tcW w:type="dxa" w:w="7060"/>
            <w:tcMar>
              <w:top w:w="100" w:type="dxa"/>
              <w:start w:w="130" w:type="dxa"/>
              <w:bottom w:w="100" w:type="dxa"/>
              <w:end w:w="130" w:type="dxa"/>
            </w:tcMar>
            <w:vAlign w:val="center"/>
          </w:tcPr>
          <w:p>
            <w:pPr>
              <w:spacing w:after="0" w:line="259" w:lineRule="auto"/>
            </w:pPr>
            <w:r>
              <w:rPr>
                <w:color w:val="25324A"/>
                <w:sz w:val="18"/>
              </w:rPr>
              <w:t>Which ticket fields, limits, promo rules and early-bird rules are required?</w:t>
            </w:r>
          </w:p>
        </w:tc>
      </w:tr>
      <w:tr>
        <w:tc>
          <w:tcPr>
            <w:tcW w:type="dxa" w:w="2300"/>
            <w:shd w:fill="F8FAFD"/>
            <w:tcMar>
              <w:top w:w="100" w:type="dxa"/>
              <w:start w:w="130" w:type="dxa"/>
              <w:bottom w:w="100" w:type="dxa"/>
              <w:end w:w="130" w:type="dxa"/>
            </w:tcMar>
            <w:vAlign w:val="center"/>
          </w:tcPr>
          <w:p>
            <w:pPr>
              <w:spacing w:after="0" w:line="259" w:lineRule="auto"/>
            </w:pPr>
            <w:r>
              <w:rPr>
                <w:color w:val="25324A"/>
                <w:sz w:val="18"/>
              </w:rPr>
              <w:t>PayFast</w:t>
            </w:r>
          </w:p>
        </w:tc>
        <w:tc>
          <w:tcPr>
            <w:tcW w:type="dxa" w:w="7060"/>
            <w:shd w:fill="F8FAFD"/>
            <w:tcMar>
              <w:top w:w="100" w:type="dxa"/>
              <w:start w:w="130" w:type="dxa"/>
              <w:bottom w:w="100" w:type="dxa"/>
              <w:end w:w="130" w:type="dxa"/>
            </w:tcMar>
            <w:vAlign w:val="center"/>
          </w:tcPr>
          <w:p>
            <w:pPr>
              <w:spacing w:after="0" w:line="259" w:lineRule="auto"/>
            </w:pPr>
            <w:r>
              <w:rPr>
                <w:color w:val="25324A"/>
                <w:sz w:val="18"/>
              </w:rPr>
              <w:t>Whose merchant account will be used, who pays the gateway fee, and how are organiser settlements performed?</w:t>
            </w:r>
          </w:p>
        </w:tc>
      </w:tr>
      <w:tr>
        <w:tc>
          <w:tcPr>
            <w:tcW w:type="dxa" w:w="2300"/>
            <w:tcMar>
              <w:top w:w="100" w:type="dxa"/>
              <w:start w:w="130" w:type="dxa"/>
              <w:bottom w:w="100" w:type="dxa"/>
              <w:end w:w="130" w:type="dxa"/>
            </w:tcMar>
            <w:vAlign w:val="center"/>
          </w:tcPr>
          <w:p>
            <w:pPr>
              <w:spacing w:after="0" w:line="259" w:lineRule="auto"/>
            </w:pPr>
            <w:r>
              <w:rPr>
                <w:color w:val="25324A"/>
                <w:sz w:val="18"/>
              </w:rPr>
              <w:t>Booking fee</w:t>
            </w:r>
          </w:p>
        </w:tc>
        <w:tc>
          <w:tcPr>
            <w:tcW w:type="dxa" w:w="7060"/>
            <w:tcMar>
              <w:top w:w="100" w:type="dxa"/>
              <w:start w:w="130" w:type="dxa"/>
              <w:bottom w:w="100" w:type="dxa"/>
              <w:end w:w="130" w:type="dxa"/>
            </w:tcMar>
            <w:vAlign w:val="center"/>
          </w:tcPr>
          <w:p>
            <w:pPr>
              <w:spacing w:after="0" w:line="259" w:lineRule="auto"/>
            </w:pPr>
            <w:r>
              <w:rPr>
                <w:color w:val="25324A"/>
                <w:sz w:val="18"/>
              </w:rPr>
              <w:t>Please confirm the R5 customer booking fee and 4.5% developer software licence fee. Are these inclusive or exclusive of VAT?</w:t>
            </w:r>
          </w:p>
        </w:tc>
      </w:tr>
      <w:tr>
        <w:tc>
          <w:tcPr>
            <w:tcW w:type="dxa" w:w="2300"/>
            <w:shd w:fill="F8FAFD"/>
            <w:tcMar>
              <w:top w:w="100" w:type="dxa"/>
              <w:start w:w="130" w:type="dxa"/>
              <w:bottom w:w="100" w:type="dxa"/>
              <w:end w:w="130" w:type="dxa"/>
            </w:tcMar>
            <w:vAlign w:val="center"/>
          </w:tcPr>
          <w:p>
            <w:pPr>
              <w:spacing w:after="0" w:line="259" w:lineRule="auto"/>
            </w:pPr>
            <w:r>
              <w:rPr>
                <w:color w:val="25324A"/>
                <w:sz w:val="18"/>
              </w:rPr>
              <w:t>Refunds</w:t>
            </w:r>
          </w:p>
        </w:tc>
        <w:tc>
          <w:tcPr>
            <w:tcW w:type="dxa" w:w="7060"/>
            <w:shd w:fill="F8FAFD"/>
            <w:tcMar>
              <w:top w:w="100" w:type="dxa"/>
              <w:start w:w="130" w:type="dxa"/>
              <w:bottom w:w="100" w:type="dxa"/>
              <w:end w:w="130" w:type="dxa"/>
            </w:tcMar>
            <w:vAlign w:val="center"/>
          </w:tcPr>
          <w:p>
            <w:pPr>
              <w:spacing w:after="0" w:line="259" w:lineRule="auto"/>
            </w:pPr>
            <w:r>
              <w:rPr>
                <w:color w:val="25324A"/>
                <w:sz w:val="18"/>
              </w:rPr>
              <w:t>Who approves refunds/cancellations, and will refunds be handled manually in Phase 1?</w:t>
            </w:r>
          </w:p>
        </w:tc>
      </w:tr>
      <w:tr>
        <w:tc>
          <w:tcPr>
            <w:tcW w:type="dxa" w:w="2300"/>
            <w:tcMar>
              <w:top w:w="100" w:type="dxa"/>
              <w:start w:w="130" w:type="dxa"/>
              <w:bottom w:w="100" w:type="dxa"/>
              <w:end w:w="130" w:type="dxa"/>
            </w:tcMar>
            <w:vAlign w:val="center"/>
          </w:tcPr>
          <w:p>
            <w:pPr>
              <w:spacing w:after="0" w:line="259" w:lineRule="auto"/>
            </w:pPr>
            <w:r>
              <w:rPr>
                <w:color w:val="25324A"/>
                <w:sz w:val="18"/>
              </w:rPr>
              <w:t>Host reporting</w:t>
            </w:r>
          </w:p>
        </w:tc>
        <w:tc>
          <w:tcPr>
            <w:tcW w:type="dxa" w:w="7060"/>
            <w:tcMar>
              <w:top w:w="100" w:type="dxa"/>
              <w:start w:w="130" w:type="dxa"/>
              <w:bottom w:w="100" w:type="dxa"/>
              <w:end w:w="130" w:type="dxa"/>
            </w:tcMar>
            <w:vAlign w:val="center"/>
          </w:tcPr>
          <w:p>
            <w:pPr>
              <w:spacing w:after="0" w:line="259" w:lineRule="auto"/>
            </w:pPr>
            <w:r>
              <w:rPr>
                <w:color w:val="25324A"/>
                <w:sz w:val="18"/>
              </w:rPr>
              <w:t>Which exports are required: bookings, attendees, sales, fees and/or settlements? Confirm CSV or PDF preference.</w:t>
            </w:r>
          </w:p>
        </w:tc>
      </w:tr>
      <w:tr>
        <w:tc>
          <w:tcPr>
            <w:tcW w:type="dxa" w:w="2300"/>
            <w:shd w:fill="F8FAFD"/>
            <w:tcMar>
              <w:top w:w="100" w:type="dxa"/>
              <w:start w:w="130" w:type="dxa"/>
              <w:bottom w:w="100" w:type="dxa"/>
              <w:end w:w="130" w:type="dxa"/>
            </w:tcMar>
            <w:vAlign w:val="center"/>
          </w:tcPr>
          <w:p>
            <w:pPr>
              <w:spacing w:after="0" w:line="259" w:lineRule="auto"/>
            </w:pPr>
            <w:r>
              <w:rPr>
                <w:color w:val="25324A"/>
                <w:sz w:val="18"/>
              </w:rPr>
              <w:t>Reviews</w:t>
            </w:r>
          </w:p>
        </w:tc>
        <w:tc>
          <w:tcPr>
            <w:tcW w:type="dxa" w:w="7060"/>
            <w:shd w:fill="F8FAFD"/>
            <w:tcMar>
              <w:top w:w="100" w:type="dxa"/>
              <w:start w:w="130" w:type="dxa"/>
              <w:bottom w:w="100" w:type="dxa"/>
              <w:end w:w="130" w:type="dxa"/>
            </w:tcMar>
            <w:vAlign w:val="center"/>
          </w:tcPr>
          <w:p>
            <w:pPr>
              <w:spacing w:after="0" w:line="259" w:lineRule="auto"/>
            </w:pPr>
            <w:r>
              <w:rPr>
                <w:color w:val="25324A"/>
                <w:sz w:val="18"/>
              </w:rPr>
              <w:t>Are reviews published immediately or only after admin approval?</w:t>
            </w:r>
          </w:p>
        </w:tc>
      </w:tr>
      <w:tr>
        <w:tc>
          <w:tcPr>
            <w:tcW w:type="dxa" w:w="2300"/>
            <w:tcMar>
              <w:top w:w="100" w:type="dxa"/>
              <w:start w:w="130" w:type="dxa"/>
              <w:bottom w:w="100" w:type="dxa"/>
              <w:end w:w="130" w:type="dxa"/>
            </w:tcMar>
            <w:vAlign w:val="center"/>
          </w:tcPr>
          <w:p>
            <w:pPr>
              <w:spacing w:after="0" w:line="259" w:lineRule="auto"/>
            </w:pPr>
            <w:r>
              <w:rPr>
                <w:color w:val="25324A"/>
                <w:sz w:val="18"/>
              </w:rPr>
              <w:t>Notifications</w:t>
            </w:r>
          </w:p>
        </w:tc>
        <w:tc>
          <w:tcPr>
            <w:tcW w:type="dxa" w:w="7060"/>
            <w:tcMar>
              <w:top w:w="100" w:type="dxa"/>
              <w:start w:w="130" w:type="dxa"/>
              <w:bottom w:w="100" w:type="dxa"/>
              <w:end w:w="130" w:type="dxa"/>
            </w:tcMar>
            <w:vAlign w:val="center"/>
          </w:tcPr>
          <w:p>
            <w:pPr>
              <w:spacing w:after="0" w:line="259" w:lineRule="auto"/>
            </w:pPr>
            <w:r>
              <w:rPr>
                <w:color w:val="25324A"/>
                <w:sz w:val="18"/>
              </w:rPr>
              <w:t>Which essential emails are required for registration, booking, ticket delivery and event changes?</w:t>
            </w:r>
          </w:p>
        </w:tc>
      </w:tr>
      <w:tr>
        <w:tc>
          <w:tcPr>
            <w:tcW w:type="dxa" w:w="2300"/>
            <w:shd w:fill="F8FAFD"/>
            <w:tcMar>
              <w:top w:w="100" w:type="dxa"/>
              <w:start w:w="130" w:type="dxa"/>
              <w:bottom w:w="100" w:type="dxa"/>
              <w:end w:w="130" w:type="dxa"/>
            </w:tcMar>
            <w:vAlign w:val="center"/>
          </w:tcPr>
          <w:p>
            <w:pPr>
              <w:spacing w:after="0" w:line="259" w:lineRule="auto"/>
            </w:pPr>
            <w:r>
              <w:rPr>
                <w:color w:val="25324A"/>
                <w:sz w:val="18"/>
              </w:rPr>
              <w:t>Launch</w:t>
            </w:r>
          </w:p>
        </w:tc>
        <w:tc>
          <w:tcPr>
            <w:tcW w:type="dxa" w:w="7060"/>
            <w:shd w:fill="F8FAFD"/>
            <w:tcMar>
              <w:top w:w="100" w:type="dxa"/>
              <w:start w:w="130" w:type="dxa"/>
              <w:bottom w:w="100" w:type="dxa"/>
              <w:end w:w="130" w:type="dxa"/>
            </w:tcMar>
            <w:vAlign w:val="center"/>
          </w:tcPr>
          <w:p>
            <w:pPr>
              <w:spacing w:after="0" w:line="259" w:lineRule="auto"/>
            </w:pPr>
            <w:r>
              <w:rPr>
                <w:color w:val="25324A"/>
                <w:sz w:val="18"/>
              </w:rPr>
              <w:t>Confirm the domain, Xneelo package, planned launch date and authorised acceptance contact.</w:t>
            </w:r>
          </w:p>
        </w:tc>
      </w:tr>
    </w:tbl>
    <w:p>
      <w:pPr>
        <w:spacing w:after="0"/>
      </w:pPr>
    </w:p>
    <w:p>
      <w:pPr>
        <w:pStyle w:val="Heading1"/>
      </w:pPr>
      <w:r>
        <w:t>11. Acceptance</w:t>
      </w:r>
    </w:p>
    <w:p>
      <w:r>
        <w:t>Signing below confirms acceptance of the Phase 1 scope, the R16,000 once-off implementation fee, R400/month support, payment terms and scope-control provisions in this proposal.</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2563EB"/>
            <w:tcMar>
              <w:top w:w="100" w:type="dxa"/>
              <w:start w:w="130" w:type="dxa"/>
              <w:bottom w:w="100" w:type="dxa"/>
              <w:end w:w="130" w:type="dxa"/>
            </w:tcMar>
            <w:vAlign w:val="center"/>
          </w:tcPr>
          <w:p>
            <w:pPr>
              <w:spacing w:after="0"/>
            </w:pPr>
            <w:r>
              <w:rPr>
                <w:b/>
                <w:color w:val="FFFFFF"/>
                <w:sz w:val="19"/>
              </w:rPr>
              <w:t>For the Client</w:t>
            </w:r>
          </w:p>
        </w:tc>
        <w:tc>
          <w:tcPr>
            <w:tcW w:type="dxa" w:w="4680"/>
            <w:shd w:fill="2563EB"/>
            <w:tcMar>
              <w:top w:w="100" w:type="dxa"/>
              <w:start w:w="130" w:type="dxa"/>
              <w:bottom w:w="100" w:type="dxa"/>
              <w:end w:w="130" w:type="dxa"/>
            </w:tcMar>
            <w:vAlign w:val="center"/>
          </w:tcPr>
          <w:p>
            <w:pPr>
              <w:spacing w:after="0"/>
            </w:pPr>
            <w:r>
              <w:rPr>
                <w:b/>
                <w:color w:val="FFFFFF"/>
                <w:sz w:val="19"/>
              </w:rPr>
              <w:t>For KodeIQ Software Solutions</w:t>
            </w:r>
          </w:p>
        </w:tc>
      </w:tr>
      <w:tr>
        <w:tc>
          <w:tcPr>
            <w:tcW w:type="dxa" w:w="4680"/>
            <w:tcMar>
              <w:top w:w="100" w:type="dxa"/>
              <w:start w:w="130" w:type="dxa"/>
              <w:bottom w:w="100" w:type="dxa"/>
              <w:end w:w="130" w:type="dxa"/>
            </w:tcMar>
            <w:vAlign w:val="center"/>
          </w:tcPr>
          <w:p>
            <w:pPr>
              <w:spacing w:after="0" w:line="259" w:lineRule="auto"/>
            </w:pPr>
            <w:r>
              <w:rPr>
                <w:color w:val="25324A"/>
                <w:sz w:val="18"/>
              </w:rPr>
              <w:t>Name: __________________________</w:t>
            </w:r>
          </w:p>
        </w:tc>
        <w:tc>
          <w:tcPr>
            <w:tcW w:type="dxa" w:w="4680"/>
            <w:tcMar>
              <w:top w:w="100" w:type="dxa"/>
              <w:start w:w="130" w:type="dxa"/>
              <w:bottom w:w="100" w:type="dxa"/>
              <w:end w:w="130" w:type="dxa"/>
            </w:tcMar>
            <w:vAlign w:val="center"/>
          </w:tcPr>
          <w:p>
            <w:pPr>
              <w:spacing w:after="0" w:line="259" w:lineRule="auto"/>
            </w:pPr>
            <w:r>
              <w:rPr>
                <w:color w:val="25324A"/>
                <w:sz w:val="18"/>
              </w:rPr>
              <w:t>Name: __________________________</w:t>
            </w:r>
          </w:p>
        </w:tc>
      </w:tr>
      <w:tr>
        <w:tc>
          <w:tcPr>
            <w:tcW w:type="dxa" w:w="4680"/>
            <w:shd w:fill="F8FAFD"/>
            <w:tcMar>
              <w:top w:w="100" w:type="dxa"/>
              <w:start w:w="130" w:type="dxa"/>
              <w:bottom w:w="100" w:type="dxa"/>
              <w:end w:w="130" w:type="dxa"/>
            </w:tcMar>
            <w:vAlign w:val="center"/>
          </w:tcPr>
          <w:p>
            <w:pPr>
              <w:spacing w:after="0" w:line="259" w:lineRule="auto"/>
            </w:pPr>
            <w:r>
              <w:rPr>
                <w:color w:val="25324A"/>
                <w:sz w:val="18"/>
              </w:rPr>
              <w:t>Signature: _______________________</w:t>
            </w:r>
          </w:p>
        </w:tc>
        <w:tc>
          <w:tcPr>
            <w:tcW w:type="dxa" w:w="4680"/>
            <w:shd w:fill="F8FAFD"/>
            <w:tcMar>
              <w:top w:w="100" w:type="dxa"/>
              <w:start w:w="130" w:type="dxa"/>
              <w:bottom w:w="100" w:type="dxa"/>
              <w:end w:w="130" w:type="dxa"/>
            </w:tcMar>
            <w:vAlign w:val="center"/>
          </w:tcPr>
          <w:p>
            <w:pPr>
              <w:spacing w:after="0" w:line="259" w:lineRule="auto"/>
            </w:pPr>
            <w:r>
              <w:rPr>
                <w:color w:val="25324A"/>
                <w:sz w:val="18"/>
              </w:rPr>
              <w:t>Signature: _______________________</w:t>
            </w:r>
          </w:p>
        </w:tc>
      </w:tr>
      <w:tr>
        <w:tc>
          <w:tcPr>
            <w:tcW w:type="dxa" w:w="4680"/>
            <w:tcMar>
              <w:top w:w="100" w:type="dxa"/>
              <w:start w:w="130" w:type="dxa"/>
              <w:bottom w:w="100" w:type="dxa"/>
              <w:end w:w="130" w:type="dxa"/>
            </w:tcMar>
            <w:vAlign w:val="center"/>
          </w:tcPr>
          <w:p>
            <w:pPr>
              <w:spacing w:after="0" w:line="259" w:lineRule="auto"/>
            </w:pPr>
            <w:r>
              <w:rPr>
                <w:color w:val="25324A"/>
                <w:sz w:val="18"/>
              </w:rPr>
              <w:t>Date: ___________________________</w:t>
            </w:r>
          </w:p>
        </w:tc>
        <w:tc>
          <w:tcPr>
            <w:tcW w:type="dxa" w:w="4680"/>
            <w:tcMar>
              <w:top w:w="100" w:type="dxa"/>
              <w:start w:w="130" w:type="dxa"/>
              <w:bottom w:w="100" w:type="dxa"/>
              <w:end w:w="130" w:type="dxa"/>
            </w:tcMar>
            <w:vAlign w:val="center"/>
          </w:tcPr>
          <w:p>
            <w:pPr>
              <w:spacing w:after="0" w:line="259" w:lineRule="auto"/>
            </w:pPr>
            <w:r>
              <w:rPr>
                <w:color w:val="25324A"/>
                <w:sz w:val="18"/>
              </w:rPr>
              <w:t>Date: ___________________________</w:t>
            </w:r>
          </w:p>
        </w:tc>
      </w:tr>
    </w:tbl>
    <w:p>
      <w:pPr>
        <w:spacing w:after="0"/>
      </w:pPr>
    </w:p>
    <w:sectPr w:rsidR="001F5A4B"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6"/>
      </w:rPr>
      <w:t>KODEIQ SOFTWARE SOLUTIONS  /  HANGOUT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F489B2"/>
    <w:lvl w:ilvl="0">
      <w:start w:val="1"/>
      <w:numFmt w:val="bullet"/>
      <w:pStyle w:val="ListBullet"/>
      <w:lvlText w:val=""/>
      <w:lvlJc w:val="left"/>
      <w:pPr>
        <w:tabs>
          <w:tab w:val="num" w:pos="360"/>
        </w:tabs>
        <w:ind w:left="360" w:hanging="360"/>
      </w:pPr>
      <w:rPr>
        <w:rFonts w:ascii="Symbol" w:hAnsi="Symbol" w:hint="default"/>
      </w:rPr>
    </w:lvl>
  </w:abstractNum>
  <w:num w:numId="1" w16cid:durableId="1984920311">
    <w:abstractNumId w:val="8"/>
  </w:num>
  <w:num w:numId="2" w16cid:durableId="134378055">
    <w:abstractNumId w:val="6"/>
  </w:num>
  <w:num w:numId="3" w16cid:durableId="249461873">
    <w:abstractNumId w:val="5"/>
  </w:num>
  <w:num w:numId="4" w16cid:durableId="2039358052">
    <w:abstractNumId w:val="4"/>
  </w:num>
  <w:num w:numId="5" w16cid:durableId="741761455">
    <w:abstractNumId w:val="7"/>
  </w:num>
  <w:num w:numId="6" w16cid:durableId="1940990055">
    <w:abstractNumId w:val="3"/>
  </w:num>
  <w:num w:numId="7" w16cid:durableId="259342403">
    <w:abstractNumId w:val="2"/>
  </w:num>
  <w:num w:numId="8" w16cid:durableId="1621715993">
    <w:abstractNumId w:val="1"/>
  </w:num>
  <w:num w:numId="9" w16cid:durableId="1224370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A4B"/>
    <w:rsid w:val="0029639D"/>
    <w:rsid w:val="00326F90"/>
    <w:rsid w:val="007933C0"/>
    <w:rsid w:val="007D1641"/>
    <w:rsid w:val="00AA1D8D"/>
    <w:rsid w:val="00B47730"/>
    <w:rsid w:val="00C7629F"/>
    <w:rsid w:val="00CB0664"/>
    <w:rsid w:val="00D741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BBA01"/>
  <w14:defaultImageDpi w14:val="300"/>
  <w15:docId w15:val="{1F107E2D-4A25-4A94-BFDC-1922A383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Aptos" w:hAnsi="Aptos"/>
      <w:color w:val="25324A"/>
      <w:sz w:val="21"/>
    </w:rPr>
  </w:style>
  <w:style w:type="paragraph" w:styleId="Heading1">
    <w:name w:val="heading 1"/>
    <w:basedOn w:val="Normal"/>
    <w:next w:val="Normal"/>
    <w:link w:val="Heading1Char"/>
    <w:uiPriority w:val="9"/>
    <w:qFormat/>
    <w:rsid w:val="00FC693F"/>
    <w:pPr>
      <w:keepNext/>
      <w:keepLines/>
      <w:pageBreakBefore w:val="0"/>
      <w:spacing w:before="340" w:after="160"/>
      <w:outlineLvl w:val="0"/>
    </w:pPr>
    <w:rPr>
      <w:rFonts w:asciiTheme="majorHAnsi" w:eastAsiaTheme="majorEastAsia" w:hAnsiTheme="majorHAnsi" w:cstheme="majorBidi" w:ascii="Aptos Display" w:hAnsi="Aptos Display"/>
      <w:b/>
      <w:bCs/>
      <w:color w:val="17233C"/>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heme="majorHAnsi" w:eastAsiaTheme="majorEastAsia" w:hAnsiTheme="majorHAnsi" w:cstheme="majorBidi" w:ascii="Aptos" w:hAnsi="Aptos"/>
      <w:b/>
      <w:bCs/>
      <w:color w:val="2563EB"/>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outlineLvl w:val="2"/>
    </w:pPr>
    <w:rPr>
      <w:rFonts w:asciiTheme="majorHAnsi" w:eastAsiaTheme="majorEastAsia" w:hAnsiTheme="majorHAnsi" w:cstheme="majorBidi" w:ascii="Aptos" w:hAnsi="Aptos"/>
      <w:b/>
      <w:bCs/>
      <w:color w:val="5B2EE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60" w:line="240" w:lineRule="auto" w:before="0"/>
      <w:contextualSpacing/>
    </w:pPr>
    <w:rPr>
      <w:rFonts w:asciiTheme="majorHAnsi" w:eastAsiaTheme="majorEastAsia" w:hAnsiTheme="majorHAnsi" w:cstheme="majorBidi" w:ascii="Aptos Display" w:hAnsi="Aptos Display"/>
      <w:b/>
      <w:color w:val="17233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80"/>
    </w:pPr>
    <w:rPr>
      <w:rFonts w:asciiTheme="majorHAnsi" w:eastAsiaTheme="majorEastAsia" w:hAnsiTheme="majorHAnsi" w:cstheme="majorBidi" w:ascii="Aptos" w:hAnsi="Aptos"/>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76" w:hanging="288"/>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76" w:hanging="288"/>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HangOut Production Implementation Proposal - Revised</dc:title>
  <dc:subject>Phase 1 scope, pricing and terms</dc:subject>
  <dc:creator>KodeIQ Software Solutions</dc:creator>
  <cp:keywords/>
  <dc:description>generated by python-docx</dc:description>
  <cp:lastModifiedBy>Gareth Van Den Aardweg</cp:lastModifiedBy>
  <cp:revision>2</cp:revision>
  <dcterms:created xsi:type="dcterms:W3CDTF">2026-08-04T13:36:00Z</dcterms:created>
  <dcterms:modified xsi:type="dcterms:W3CDTF">2026-08-04T13:36:00Z</dcterms:modified>
  <cp:category/>
</cp:coreProperties>
</file>