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C3 Alliance Bill of Rights (Revised)</w:t>
      </w:r>
    </w:p>
    <w:p>
      <w:pPr>
        <w:spacing w:line="360" w:before="315" w:after="105" w:lineRule="auto"/>
        <w:ind w:left="-30"/>
        <w:jc w:val="left"/>
      </w:pPr>
      <w:r>
        <w:rPr>
          <w:rFonts w:eastAsia="inter" w:cs="inter" w:ascii="inter" w:hAnsi="inter"/>
          <w:b/>
          <w:color w:val="000000"/>
          <w:sz w:val="24"/>
        </w:rPr>
        <w:t xml:space="preserve">Constitutional Framework for Human Sovereignty in the Digital Age</w:t>
      </w:r>
    </w:p>
    <w:p>
      <w:pPr>
        <w:spacing w:line="360" w:before="315" w:after="105" w:lineRule="auto"/>
        <w:ind w:left="-30"/>
        <w:jc w:val="left"/>
      </w:pPr>
      <w:r>
        <w:rPr>
          <w:rFonts w:eastAsia="inter" w:cs="inter" w:ascii="inter" w:hAnsi="inter"/>
          <w:b/>
          <w:color w:val="000000"/>
          <w:sz w:val="24"/>
        </w:rPr>
        <w:t xml:space="preserve">Version 2.0 - Based on Four Core Freedoms: Movement, Association, Commerce, and Expression</w:t>
      </w:r>
    </w:p>
    <w:p>
      <w:pPr>
        <w:spacing w:line="360" w:before="315" w:after="105" w:lineRule="auto"/>
        <w:ind w:left="-30"/>
        <w:jc w:val="left"/>
      </w:pPr>
      <w:r>
        <w:rPr>
          <w:rFonts w:eastAsia="inter" w:cs="inter" w:ascii="inter" w:hAnsi="inter"/>
          <w:b/>
          <w:color w:val="000000"/>
          <w:sz w:val="24"/>
        </w:rPr>
        <w:t xml:space="preserve">Preamble</w:t>
      </w:r>
    </w:p>
    <w:p>
      <w:pPr>
        <w:spacing w:line="360" w:after="210" w:lineRule="auto"/>
      </w:pPr>
      <w:r>
        <w:rPr>
          <w:rFonts w:eastAsia="inter" w:cs="inter" w:ascii="inter" w:hAnsi="inter"/>
          <w:color w:val="000000"/>
        </w:rPr>
        <w:t xml:space="preserve">We, the Constitutional Cooperative Communities (C3s) Alliance, recognize that human dignity and sovereignty transcend physical borders and extend into digital realms. In an age where blockchain technology creates permanent, visible records of human interactions, we assert that fundamental freedoms must be protected through constitutional principles that balance transparency with privacy, collective governance with individual autonomy, and technological innovation with human rights.</w:t>
      </w:r>
    </w:p>
    <w:p>
      <w:pPr>
        <w:spacing w:line="360" w:after="210" w:lineRule="auto"/>
      </w:pPr>
      <w:r>
        <w:rPr>
          <w:rFonts w:eastAsia="inter" w:cs="inter" w:ascii="inter" w:hAnsi="inter"/>
          <w:color w:val="000000"/>
        </w:rPr>
        <w:t xml:space="preserve">These rights are not granted by government or corporation, but are inherent to human dignity and essential for self-sovereign identity in the post-human labor economy. They serve as the foundation for all C3 operations, governance structures, and member interactions within our cooperative ecosystem, including the revolutionary right to </w:t>
      </w:r>
      <w:r>
        <w:rPr>
          <w:rFonts w:eastAsia="inter" w:cs="inter" w:ascii="inter" w:hAnsi="inter"/>
          <w:b/>
          <w:color w:val="000000"/>
        </w:rPr>
        <w:t xml:space="preserve">true asset sovereignty</w:t>
      </w:r>
      <w:r>
        <w:rPr>
          <w:rFonts w:eastAsia="inter" w:cs="inter" w:ascii="inter" w:hAnsi="inter"/>
          <w:color w:val="000000"/>
        </w:rPr>
        <w:t xml:space="preserve"> and </w:t>
      </w:r>
      <w:r>
        <w:rPr>
          <w:rFonts w:eastAsia="inter" w:cs="inter" w:ascii="inter" w:hAnsi="inter"/>
          <w:b/>
          <w:color w:val="000000"/>
        </w:rPr>
        <w:t xml:space="preserve">democratic economic participation</w:t>
      </w:r>
      <w:r>
        <w:rPr>
          <w:rFonts w:eastAsia="inter" w:cs="inter" w:ascii="inter" w:hAnsi="inter"/>
          <w:color w:val="000000"/>
        </w:rPr>
        <w:t xml:space="preserve"> across multiple blockchain ecosystems.</w:t>
      </w:r>
    </w:p>
    <w:p>
      <w:pPr>
        <w:spacing w:line="360" w:before="315" w:after="105" w:lineRule="auto"/>
        <w:ind w:left="-30"/>
        <w:jc w:val="left"/>
      </w:pPr>
      <w:r>
        <w:rPr>
          <w:rFonts w:eastAsia="inter" w:cs="inter" w:ascii="inter" w:hAnsi="inter"/>
          <w:b/>
          <w:color w:val="000000"/>
          <w:sz w:val="24"/>
        </w:rPr>
        <w:t xml:space="preserve">Article I: Freedom of Movement and Mobility</w:t>
      </w:r>
    </w:p>
    <w:p>
      <w:pPr>
        <w:spacing w:line="360" w:before="315" w:after="105" w:lineRule="auto"/>
        <w:ind w:left="-30"/>
        <w:jc w:val="left"/>
      </w:pPr>
      <w:r>
        <w:rPr>
          <w:rFonts w:eastAsia="inter" w:cs="inter" w:ascii="inter" w:hAnsi="inter"/>
          <w:b/>
          <w:color w:val="000000"/>
          <w:sz w:val="24"/>
        </w:rPr>
        <w:t xml:space="preserve">Section 1.1 Digital Mobility Rights</w:t>
      </w:r>
    </w:p>
    <w:p>
      <w:pPr>
        <w:spacing w:line="360" w:after="210" w:lineRule="auto"/>
      </w:pPr>
      <w:r>
        <w:rPr>
          <w:rFonts w:eastAsia="inter" w:cs="inter" w:ascii="inter" w:hAnsi="inter"/>
          <w:color w:val="000000"/>
        </w:rPr>
        <w:t xml:space="preserve">Every member shall have the absolute right to:</w:t>
      </w:r>
    </w:p>
    <w:p>
      <w:pPr>
        <w:numPr>
          <w:ilvl w:val="0"/>
          <w:numId w:val="1"/>
        </w:numPr>
        <w:spacing w:line="360" w:before="105" w:after="105" w:lineRule="auto"/>
      </w:pPr>
      <w:r>
        <w:rPr>
          <w:rFonts w:eastAsia="inter" w:cs="inter" w:ascii="inter" w:hAnsi="inter"/>
          <w:color w:val="000000"/>
          <w:sz w:val="21"/>
        </w:rPr>
        <w:t xml:space="preserve">Migrate between C3 communities without restriction, penalty, or loss of accumulated patronage rights</w:t>
      </w:r>
    </w:p>
    <w:p>
      <w:pPr>
        <w:numPr>
          <w:ilvl w:val="0"/>
          <w:numId w:val="1"/>
        </w:numPr>
        <w:spacing w:line="360" w:before="105" w:after="105" w:lineRule="auto"/>
      </w:pPr>
      <w:r>
        <w:rPr>
          <w:rFonts w:eastAsia="inter" w:cs="inter" w:ascii="inter" w:hAnsi="inter"/>
          <w:color w:val="000000"/>
          <w:sz w:val="21"/>
        </w:rPr>
        <w:t xml:space="preserve">Port their MEID (Member Entity Identifier) and associated credentials across all C3 sidechains and compatible systems</w:t>
      </w:r>
    </w:p>
    <w:p>
      <w:pPr>
        <w:numPr>
          <w:ilvl w:val="0"/>
          <w:numId w:val="1"/>
        </w:numPr>
        <w:spacing w:line="360" w:before="105" w:after="105" w:lineRule="auto"/>
      </w:pPr>
      <w:r>
        <w:rPr>
          <w:rFonts w:eastAsia="inter" w:cs="inter" w:ascii="inter" w:hAnsi="inter"/>
          <w:color w:val="000000"/>
          <w:sz w:val="21"/>
        </w:rPr>
        <w:t xml:space="preserve">Exit any C3 at will while retaining ownership of their personal vaults, keys, and accumulated COMM tokens</w:t>
      </w:r>
    </w:p>
    <w:p>
      <w:pPr>
        <w:numPr>
          <w:ilvl w:val="0"/>
          <w:numId w:val="1"/>
        </w:numPr>
        <w:spacing w:line="360" w:before="105" w:after="105" w:lineRule="auto"/>
      </w:pPr>
      <w:r>
        <w:rPr>
          <w:rFonts w:eastAsia="inter" w:cs="inter" w:ascii="inter" w:hAnsi="inter"/>
          <w:color w:val="000000"/>
          <w:sz w:val="21"/>
        </w:rPr>
        <w:t xml:space="preserve">Maintain non-custodial control over </w:t>
      </w:r>
      <w:r>
        <w:rPr>
          <w:rFonts w:eastAsia="inter" w:cs="inter" w:ascii="inter" w:hAnsi="inter"/>
          <w:b/>
          <w:color w:val="000000"/>
          <w:sz w:val="21"/>
        </w:rPr>
        <w:t xml:space="preserve">all personal assets of any type</w:t>
      </w:r>
      <w:r>
        <w:rPr>
          <w:rFonts w:eastAsia="inter" w:cs="inter" w:ascii="inter" w:hAnsi="inter"/>
          <w:color w:val="000000"/>
          <w:sz w:val="21"/>
        </w:rPr>
        <w:t xml:space="preserve">, with no entity having the power to freeze, confiscate, or restrict access to member-controlled wallets containing any C3-approved asset</w:t>
      </w:r>
    </w:p>
    <w:p>
      <w:pPr>
        <w:spacing w:line="360" w:before="315" w:after="105" w:lineRule="auto"/>
        <w:ind w:left="-30"/>
        <w:jc w:val="left"/>
      </w:pPr>
      <w:r>
        <w:rPr>
          <w:rFonts w:eastAsia="inter" w:cs="inter" w:ascii="inter" w:hAnsi="inter"/>
          <w:b/>
          <w:color w:val="000000"/>
          <w:sz w:val="24"/>
        </w:rPr>
        <w:t xml:space="preserve">Section 1.2 Physical Movement Protection</w:t>
      </w:r>
    </w:p>
    <w:p>
      <w:pPr>
        <w:spacing w:line="360" w:after="210" w:lineRule="auto"/>
      </w:pPr>
      <w:r>
        <w:rPr>
          <w:rFonts w:eastAsia="inter" w:cs="inter" w:ascii="inter" w:hAnsi="inter"/>
          <w:color w:val="000000"/>
        </w:rPr>
        <w:t xml:space="preserve">Members retain full freedom of:</w:t>
      </w:r>
    </w:p>
    <w:p>
      <w:pPr>
        <w:numPr>
          <w:ilvl w:val="0"/>
          <w:numId w:val="2"/>
        </w:numPr>
        <w:spacing w:line="360" w:before="105" w:after="105" w:lineRule="auto"/>
      </w:pPr>
      <w:r>
        <w:rPr>
          <w:rFonts w:eastAsia="inter" w:cs="inter" w:ascii="inter" w:hAnsi="inter"/>
          <w:color w:val="000000"/>
          <w:sz w:val="21"/>
        </w:rPr>
        <w:t xml:space="preserve">Geographic relocation without loss of C3 membership or digital assets</w:t>
      </w:r>
    </w:p>
    <w:p>
      <w:pPr>
        <w:numPr>
          <w:ilvl w:val="0"/>
          <w:numId w:val="2"/>
        </w:numPr>
        <w:spacing w:line="360" w:before="105" w:after="105" w:lineRule="auto"/>
      </w:pPr>
      <w:r>
        <w:rPr>
          <w:rFonts w:eastAsia="inter" w:cs="inter" w:ascii="inter" w:hAnsi="inter"/>
          <w:color w:val="000000"/>
          <w:sz w:val="21"/>
        </w:rPr>
        <w:t xml:space="preserve">Cross-border asset transfer through blockchain-based systems resistant to governmental capital controls</w:t>
      </w:r>
    </w:p>
    <w:p>
      <w:pPr>
        <w:numPr>
          <w:ilvl w:val="0"/>
          <w:numId w:val="2"/>
        </w:numPr>
        <w:spacing w:line="360" w:before="105" w:after="105" w:lineRule="auto"/>
      </w:pPr>
      <w:r>
        <w:rPr>
          <w:rFonts w:eastAsia="inter" w:cs="inter" w:ascii="inter" w:hAnsi="inter"/>
          <w:color w:val="000000"/>
          <w:sz w:val="21"/>
        </w:rPr>
        <w:t xml:space="preserve">Anonymous movement through privacy-preserving technologies when personal safety requires confidentiality</w:t>
      </w:r>
    </w:p>
    <w:p>
      <w:pPr>
        <w:spacing w:line="360" w:before="315" w:after="105" w:lineRule="auto"/>
        <w:ind w:left="-30"/>
        <w:jc w:val="left"/>
      </w:pPr>
      <w:r>
        <w:rPr>
          <w:rFonts w:eastAsia="inter" w:cs="inter" w:ascii="inter" w:hAnsi="inter"/>
          <w:b/>
          <w:color w:val="000000"/>
          <w:sz w:val="24"/>
        </w:rPr>
        <w:t xml:space="preserve">Section 1.3 Multi-Asset Portability Rights</w:t>
      </w:r>
    </w:p>
    <w:p>
      <w:pPr>
        <w:spacing w:line="360" w:after="210" w:lineRule="auto"/>
      </w:pPr>
      <w:r>
        <w:rPr>
          <w:rFonts w:eastAsia="inter" w:cs="inter" w:ascii="inter" w:hAnsi="inter"/>
          <w:color w:val="000000"/>
        </w:rPr>
        <w:t xml:space="preserve">Members possess absolute rights to:</w:t>
      </w:r>
    </w:p>
    <w:p>
      <w:pPr>
        <w:numPr>
          <w:ilvl w:val="0"/>
          <w:numId w:val="3"/>
        </w:numPr>
        <w:spacing w:line="360" w:before="105" w:after="105" w:lineRule="auto"/>
      </w:pPr>
      <w:r>
        <w:rPr>
          <w:rFonts w:eastAsia="inter" w:cs="inter" w:ascii="inter" w:hAnsi="inter"/>
          <w:b/>
          <w:color w:val="000000"/>
          <w:sz w:val="21"/>
        </w:rPr>
        <w:t xml:space="preserve">Transfer any C3-approved vault assets</w:t>
      </w:r>
      <w:r>
        <w:rPr>
          <w:rFonts w:eastAsia="inter" w:cs="inter" w:ascii="inter" w:hAnsi="inter"/>
          <w:color w:val="000000"/>
          <w:sz w:val="21"/>
        </w:rPr>
        <w:t xml:space="preserve"> between communities without conversion requirements</w:t>
      </w:r>
    </w:p>
    <w:p>
      <w:pPr>
        <w:numPr>
          <w:ilvl w:val="0"/>
          <w:numId w:val="3"/>
        </w:numPr>
        <w:spacing w:line="360" w:before="105" w:after="105" w:lineRule="auto"/>
      </w:pPr>
      <w:r>
        <w:rPr>
          <w:rFonts w:eastAsia="inter" w:cs="inter" w:ascii="inter" w:hAnsi="inter"/>
          <w:b/>
          <w:color w:val="000000"/>
          <w:sz w:val="21"/>
        </w:rPr>
        <w:t xml:space="preserve">Maintain diverse asset portfolios</w:t>
      </w:r>
      <w:r>
        <w:rPr>
          <w:rFonts w:eastAsia="inter" w:cs="inter" w:ascii="inter" w:hAnsi="inter"/>
          <w:color w:val="000000"/>
          <w:sz w:val="21"/>
        </w:rPr>
        <w:t xml:space="preserve"> across multiple blockchains while preserving full C3 participation rights</w:t>
      </w:r>
    </w:p>
    <w:p>
      <w:pPr>
        <w:numPr>
          <w:ilvl w:val="0"/>
          <w:numId w:val="3"/>
        </w:numPr>
        <w:spacing w:line="360" w:before="105" w:after="105" w:lineRule="auto"/>
      </w:pPr>
      <w:r>
        <w:rPr>
          <w:rFonts w:eastAsia="inter" w:cs="inter" w:ascii="inter" w:hAnsi="inter"/>
          <w:b/>
          <w:color w:val="000000"/>
          <w:sz w:val="21"/>
        </w:rPr>
        <w:t xml:space="preserve">Exit with complete asset sovereignty</w:t>
      </w:r>
      <w:r>
        <w:rPr>
          <w:rFonts w:eastAsia="inter" w:cs="inter" w:ascii="inter" w:hAnsi="inter"/>
          <w:color w:val="000000"/>
          <w:sz w:val="21"/>
        </w:rPr>
        <w:t xml:space="preserve">, ensuring no asset type or blockchain preference creates mobility restrictions</w:t>
      </w:r>
    </w:p>
    <w:p>
      <w:pPr>
        <w:spacing w:line="360" w:before="315" w:after="105" w:lineRule="auto"/>
        <w:ind w:left="-30"/>
        <w:jc w:val="left"/>
      </w:pPr>
      <w:r>
        <w:rPr>
          <w:rFonts w:eastAsia="inter" w:cs="inter" w:ascii="inter" w:hAnsi="inter"/>
          <w:b/>
          <w:color w:val="000000"/>
          <w:sz w:val="24"/>
        </w:rPr>
        <w:t xml:space="preserve">Section 1.4 Limitations</w:t>
      </w:r>
    </w:p>
    <w:p>
      <w:pPr>
        <w:spacing w:line="360" w:after="210" w:lineRule="auto"/>
      </w:pPr>
      <w:r>
        <w:rPr>
          <w:rFonts w:eastAsia="inter" w:cs="inter" w:ascii="inter" w:hAnsi="inter"/>
          <w:color w:val="000000"/>
        </w:rPr>
        <w:t xml:space="preserve">Movement rights may be restricted only by:</w:t>
      </w:r>
    </w:p>
    <w:p>
      <w:pPr>
        <w:numPr>
          <w:ilvl w:val="0"/>
          <w:numId w:val="4"/>
        </w:numPr>
        <w:spacing w:line="360" w:before="105" w:after="105" w:lineRule="auto"/>
      </w:pPr>
      <w:r>
        <w:rPr>
          <w:rFonts w:eastAsia="inter" w:cs="inter" w:ascii="inter" w:hAnsi="inter"/>
          <w:color w:val="000000"/>
          <w:sz w:val="21"/>
        </w:rPr>
        <w:t xml:space="preserve">Smart contract obligations voluntarily entered with specific timeframes (e.g., C-Bills with 72-epoch terms)</w:t>
      </w:r>
    </w:p>
    <w:p>
      <w:pPr>
        <w:numPr>
          <w:ilvl w:val="0"/>
          <w:numId w:val="4"/>
        </w:numPr>
        <w:spacing w:line="360" w:before="105" w:after="105" w:lineRule="auto"/>
      </w:pPr>
      <w:r>
        <w:rPr>
          <w:rFonts w:eastAsia="inter" w:cs="inter" w:ascii="inter" w:hAnsi="inter"/>
          <w:color w:val="000000"/>
          <w:sz w:val="21"/>
        </w:rPr>
        <w:t xml:space="preserve">Factional governance commitments with clearly defined exit procedures and compensation requirements</w:t>
      </w:r>
    </w:p>
    <w:p>
      <w:pPr>
        <w:numPr>
          <w:ilvl w:val="0"/>
          <w:numId w:val="4"/>
        </w:numPr>
        <w:spacing w:line="360" w:before="105" w:after="105" w:lineRule="auto"/>
      </w:pPr>
      <w:r>
        <w:rPr>
          <w:rFonts w:eastAsia="inter" w:cs="inter" w:ascii="inter" w:hAnsi="inter"/>
          <w:color w:val="000000"/>
          <w:sz w:val="21"/>
        </w:rPr>
        <w:t xml:space="preserve">Legal compliance requirements mandated by jurisdiction of member's choosing for tax or regulatory purposes</w:t>
      </w:r>
    </w:p>
    <w:p>
      <w:pPr>
        <w:spacing w:line="360" w:before="315" w:after="105" w:lineRule="auto"/>
        <w:ind w:left="-30"/>
        <w:jc w:val="left"/>
      </w:pPr>
      <w:r>
        <w:rPr>
          <w:rFonts w:eastAsia="inter" w:cs="inter" w:ascii="inter" w:hAnsi="inter"/>
          <w:b/>
          <w:color w:val="000000"/>
          <w:sz w:val="24"/>
        </w:rPr>
        <w:t xml:space="preserve">Article II: Freedom of Association</w:t>
      </w:r>
    </w:p>
    <w:p>
      <w:pPr>
        <w:spacing w:line="360" w:before="315" w:after="105" w:lineRule="auto"/>
        <w:ind w:left="-30"/>
        <w:jc w:val="left"/>
      </w:pPr>
      <w:r>
        <w:rPr>
          <w:rFonts w:eastAsia="inter" w:cs="inter" w:ascii="inter" w:hAnsi="inter"/>
          <w:b/>
          <w:color w:val="000000"/>
          <w:sz w:val="24"/>
        </w:rPr>
        <w:t xml:space="preserve">Section 2.1 Cooperative Assembly Rights</w:t>
      </w:r>
    </w:p>
    <w:p>
      <w:pPr>
        <w:spacing w:line="360" w:after="210" w:lineRule="auto"/>
      </w:pPr>
      <w:r>
        <w:rPr>
          <w:rFonts w:eastAsia="inter" w:cs="inter" w:ascii="inter" w:hAnsi="inter"/>
          <w:color w:val="000000"/>
        </w:rPr>
        <w:t xml:space="preserve">Every member shall have the inviolable right to:</w:t>
      </w:r>
    </w:p>
    <w:p>
      <w:pPr>
        <w:numPr>
          <w:ilvl w:val="0"/>
          <w:numId w:val="5"/>
        </w:numPr>
        <w:spacing w:line="360" w:before="105" w:after="105" w:lineRule="auto"/>
      </w:pPr>
      <w:r>
        <w:rPr>
          <w:rFonts w:eastAsia="inter" w:cs="inter" w:ascii="inter" w:hAnsi="inter"/>
          <w:color w:val="000000"/>
          <w:sz w:val="21"/>
        </w:rPr>
        <w:t xml:space="preserve">Form and join factions (Union-PDT, Guild-PCT, Syndicate-PMT) based on their interests and expertise</w:t>
      </w:r>
    </w:p>
    <w:p>
      <w:pPr>
        <w:numPr>
          <w:ilvl w:val="0"/>
          <w:numId w:val="5"/>
        </w:numPr>
        <w:spacing w:line="360" w:before="105" w:after="105" w:lineRule="auto"/>
      </w:pPr>
      <w:r>
        <w:rPr>
          <w:rFonts w:eastAsia="inter" w:cs="inter" w:ascii="inter" w:hAnsi="inter"/>
          <w:color w:val="000000"/>
          <w:sz w:val="21"/>
        </w:rPr>
        <w:t xml:space="preserve">Create sub-communities within C3s for specialized purposes, cultural affinity, or shared objectives</w:t>
      </w:r>
    </w:p>
    <w:p>
      <w:pPr>
        <w:numPr>
          <w:ilvl w:val="0"/>
          <w:numId w:val="5"/>
        </w:numPr>
        <w:spacing w:line="360" w:before="105" w:after="105" w:lineRule="auto"/>
      </w:pPr>
      <w:r>
        <w:rPr>
          <w:rFonts w:eastAsia="inter" w:cs="inter" w:ascii="inter" w:hAnsi="inter"/>
          <w:color w:val="000000"/>
          <w:sz w:val="21"/>
        </w:rPr>
        <w:t xml:space="preserve">Establish inter-C3 partnerships and collaborations without interference from any single C3 governance structure</w:t>
      </w:r>
    </w:p>
    <w:p>
      <w:pPr>
        <w:numPr>
          <w:ilvl w:val="0"/>
          <w:numId w:val="5"/>
        </w:numPr>
        <w:spacing w:line="360" w:before="105" w:after="105" w:lineRule="auto"/>
      </w:pPr>
      <w:r>
        <w:rPr>
          <w:rFonts w:eastAsia="inter" w:cs="inter" w:ascii="inter" w:hAnsi="inter"/>
          <w:color w:val="000000"/>
          <w:sz w:val="21"/>
        </w:rPr>
        <w:t xml:space="preserve">Associate with external organizations including traditional cooperatives, DAOs, corporations, and governmental entities</w:t>
      </w:r>
    </w:p>
    <w:p>
      <w:pPr>
        <w:numPr>
          <w:ilvl w:val="0"/>
          <w:numId w:val="5"/>
        </w:numPr>
        <w:spacing w:line="360" w:before="105" w:after="105" w:lineRule="auto"/>
      </w:pPr>
      <w:r>
        <w:rPr>
          <w:rFonts w:eastAsia="inter" w:cs="inter" w:ascii="inter" w:hAnsi="inter"/>
          <w:b/>
          <w:color w:val="000000"/>
          <w:sz w:val="21"/>
        </w:rPr>
        <w:t xml:space="preserve">Form Member Entity Companies (MECOs)</w:t>
      </w:r>
      <w:r>
        <w:rPr>
          <w:rFonts w:eastAsia="inter" w:cs="inter" w:ascii="inter" w:hAnsi="inter"/>
          <w:color w:val="000000"/>
          <w:sz w:val="21"/>
        </w:rPr>
        <w:t xml:space="preserve"> using any approved asset types for capitalization and operations</w:t>
      </w:r>
    </w:p>
    <w:p>
      <w:pPr>
        <w:spacing w:line="360" w:before="315" w:after="105" w:lineRule="auto"/>
        <w:ind w:left="-30"/>
        <w:jc w:val="left"/>
      </w:pPr>
      <w:r>
        <w:rPr>
          <w:rFonts w:eastAsia="inter" w:cs="inter" w:ascii="inter" w:hAnsi="inter"/>
          <w:b/>
          <w:color w:val="000000"/>
          <w:sz w:val="24"/>
        </w:rPr>
        <w:t xml:space="preserve">Section 2.2 Democratic Participation Rights</w:t>
      </w:r>
    </w:p>
    <w:p>
      <w:pPr>
        <w:spacing w:line="360" w:after="210" w:lineRule="auto"/>
      </w:pPr>
      <w:r>
        <w:rPr>
          <w:rFonts w:eastAsia="inter" w:cs="inter" w:ascii="inter" w:hAnsi="inter"/>
          <w:color w:val="000000"/>
        </w:rPr>
        <w:t xml:space="preserve">Members possess absolute rights to:</w:t>
      </w:r>
    </w:p>
    <w:p>
      <w:pPr>
        <w:numPr>
          <w:ilvl w:val="0"/>
          <w:numId w:val="6"/>
        </w:numPr>
        <w:spacing w:line="360" w:before="105" w:after="105" w:lineRule="auto"/>
      </w:pPr>
      <w:r>
        <w:rPr>
          <w:rFonts w:eastAsia="inter" w:cs="inter" w:ascii="inter" w:hAnsi="inter"/>
          <w:color w:val="000000"/>
          <w:sz w:val="21"/>
        </w:rPr>
        <w:t xml:space="preserve">Vote on all matters affecting their faction, C3, or the broader Alliance using one-member-one-vote principles</w:t>
      </w:r>
    </w:p>
    <w:p>
      <w:pPr>
        <w:numPr>
          <w:ilvl w:val="0"/>
          <w:numId w:val="6"/>
        </w:numPr>
        <w:spacing w:line="360" w:before="105" w:after="105" w:lineRule="auto"/>
      </w:pPr>
      <w:r>
        <w:rPr>
          <w:rFonts w:eastAsia="inter" w:cs="inter" w:ascii="inter" w:hAnsi="inter"/>
          <w:color w:val="000000"/>
          <w:sz w:val="21"/>
        </w:rPr>
        <w:t xml:space="preserve">Propose Impact Offers (IOs) and </w:t>
      </w:r>
      <w:r>
        <w:rPr>
          <w:rFonts w:eastAsia="inter" w:cs="inter" w:ascii="inter" w:hAnsi="inter"/>
          <w:b/>
          <w:color w:val="000000"/>
          <w:sz w:val="21"/>
        </w:rPr>
        <w:t xml:space="preserve">Impact Quests including ISPO projects</w:t>
      </w:r>
      <w:r>
        <w:rPr>
          <w:rFonts w:eastAsia="inter" w:cs="inter" w:ascii="inter" w:hAnsi="inter"/>
          <w:color w:val="000000"/>
          <w:sz w:val="21"/>
        </w:rPr>
        <w:t xml:space="preserve"> through the Legislative Loop without censorship or prior restraint</w:t>
      </w:r>
    </w:p>
    <w:p>
      <w:pPr>
        <w:numPr>
          <w:ilvl w:val="0"/>
          <w:numId w:val="6"/>
        </w:numPr>
        <w:spacing w:line="360" w:before="105" w:after="105" w:lineRule="auto"/>
      </w:pPr>
      <w:r>
        <w:rPr>
          <w:rFonts w:eastAsia="inter" w:cs="inter" w:ascii="inter" w:hAnsi="inter"/>
          <w:b/>
          <w:color w:val="000000"/>
          <w:sz w:val="21"/>
        </w:rPr>
        <w:t xml:space="preserve">Participate in democratic asset approval processes</w:t>
      </w:r>
      <w:r>
        <w:rPr>
          <w:rFonts w:eastAsia="inter" w:cs="inter" w:ascii="inter" w:hAnsi="inter"/>
          <w:color w:val="000000"/>
          <w:sz w:val="21"/>
        </w:rPr>
        <w:t xml:space="preserve"> for vault funding and community acceptance</w:t>
      </w:r>
    </w:p>
    <w:p>
      <w:pPr>
        <w:numPr>
          <w:ilvl w:val="0"/>
          <w:numId w:val="6"/>
        </w:numPr>
        <w:spacing w:line="360" w:before="105" w:after="105" w:lineRule="auto"/>
      </w:pPr>
      <w:r>
        <w:rPr>
          <w:rFonts w:eastAsia="inter" w:cs="inter" w:ascii="inter" w:hAnsi="inter"/>
          <w:color w:val="000000"/>
          <w:sz w:val="21"/>
        </w:rPr>
        <w:t xml:space="preserve">Run for elected positions within any governance loop (Executive, Legislative, Judicial) subject only to basic competency requirements</w:t>
      </w:r>
    </w:p>
    <w:p>
      <w:pPr>
        <w:numPr>
          <w:ilvl w:val="0"/>
          <w:numId w:val="6"/>
        </w:numPr>
        <w:spacing w:line="360" w:before="105" w:after="105" w:lineRule="auto"/>
      </w:pPr>
      <w:r>
        <w:rPr>
          <w:rFonts w:eastAsia="inter" w:cs="inter" w:ascii="inter" w:hAnsi="inter"/>
          <w:color w:val="000000"/>
          <w:sz w:val="21"/>
        </w:rPr>
        <w:t xml:space="preserve">Access all governance proceedings with full transparency except where privacy protections for individual members require confidentiality</w:t>
      </w:r>
    </w:p>
    <w:p>
      <w:pPr>
        <w:spacing w:line="360" w:before="315" w:after="105" w:lineRule="auto"/>
        <w:ind w:left="-30"/>
        <w:jc w:val="left"/>
      </w:pPr>
      <w:r>
        <w:rPr>
          <w:rFonts w:eastAsia="inter" w:cs="inter" w:ascii="inter" w:hAnsi="inter"/>
          <w:b/>
          <w:color w:val="000000"/>
          <w:sz w:val="24"/>
        </w:rPr>
        <w:t xml:space="preserve">Section 2.3 Faction Autonomy Protection</w:t>
      </w:r>
    </w:p>
    <w:p>
      <w:pPr>
        <w:spacing w:line="360" w:after="210" w:lineRule="auto"/>
      </w:pPr>
      <w:r>
        <w:rPr>
          <w:rFonts w:eastAsia="inter" w:cs="inter" w:ascii="inter" w:hAnsi="inter"/>
          <w:color w:val="000000"/>
        </w:rPr>
        <w:t xml:space="preserve">Factional rights include:</w:t>
      </w:r>
    </w:p>
    <w:p>
      <w:pPr>
        <w:numPr>
          <w:ilvl w:val="0"/>
          <w:numId w:val="7"/>
        </w:numPr>
        <w:spacing w:line="360" w:before="105" w:after="105" w:lineRule="auto"/>
      </w:pPr>
      <w:r>
        <w:rPr>
          <w:rFonts w:eastAsia="inter" w:cs="inter" w:ascii="inter" w:hAnsi="inter"/>
          <w:color w:val="000000"/>
          <w:sz w:val="21"/>
        </w:rPr>
        <w:t xml:space="preserve">Adversarial representation allowing Union and Guild factions to engage in legitimate conflict during negotiations</w:t>
      </w:r>
    </w:p>
    <w:p>
      <w:pPr>
        <w:numPr>
          <w:ilvl w:val="0"/>
          <w:numId w:val="7"/>
        </w:numPr>
        <w:spacing w:line="360" w:before="105" w:after="105" w:lineRule="auto"/>
      </w:pPr>
      <w:r>
        <w:rPr>
          <w:rFonts w:eastAsia="inter" w:cs="inter" w:ascii="inter" w:hAnsi="inter"/>
          <w:color w:val="000000"/>
          <w:sz w:val="21"/>
        </w:rPr>
        <w:t xml:space="preserve">Internal governance autonomy with minimal interference from other factions or C3-wide governance</w:t>
      </w:r>
    </w:p>
    <w:p>
      <w:pPr>
        <w:numPr>
          <w:ilvl w:val="0"/>
          <w:numId w:val="7"/>
        </w:numPr>
        <w:spacing w:line="360" w:before="105" w:after="105" w:lineRule="auto"/>
      </w:pPr>
      <w:r>
        <w:rPr>
          <w:rFonts w:eastAsia="inter" w:cs="inter" w:ascii="inter" w:hAnsi="inter"/>
          <w:b/>
          <w:color w:val="000000"/>
          <w:sz w:val="21"/>
        </w:rPr>
        <w:t xml:space="preserve">Asset preference advocacy</w:t>
      </w:r>
      <w:r>
        <w:rPr>
          <w:rFonts w:eastAsia="inter" w:cs="inter" w:ascii="inter" w:hAnsi="inter"/>
          <w:color w:val="000000"/>
          <w:sz w:val="21"/>
        </w:rPr>
        <w:t xml:space="preserve"> ensuring each faction can represent member interests in multi-asset treasury and vault decisions</w:t>
      </w:r>
    </w:p>
    <w:p>
      <w:pPr>
        <w:numPr>
          <w:ilvl w:val="0"/>
          <w:numId w:val="7"/>
        </w:numPr>
        <w:spacing w:line="360" w:before="105" w:after="105" w:lineRule="auto"/>
      </w:pPr>
      <w:r>
        <w:rPr>
          <w:rFonts w:eastAsia="inter" w:cs="inter" w:ascii="inter" w:hAnsi="inter"/>
          <w:color w:val="000000"/>
          <w:sz w:val="21"/>
        </w:rPr>
        <w:t xml:space="preserve">Cross-faction coalition building to address issues affecting multiple stakeholder groups</w:t>
      </w:r>
    </w:p>
    <w:p>
      <w:pPr>
        <w:spacing w:line="360" w:before="315" w:after="105" w:lineRule="auto"/>
        <w:ind w:left="-30"/>
        <w:jc w:val="left"/>
      </w:pPr>
      <w:r>
        <w:rPr>
          <w:rFonts w:eastAsia="inter" w:cs="inter" w:ascii="inter" w:hAnsi="inter"/>
          <w:b/>
          <w:color w:val="000000"/>
          <w:sz w:val="24"/>
        </w:rPr>
        <w:t xml:space="preserve">Section 2.4 ISPO and Project Association Rights</w:t>
      </w:r>
    </w:p>
    <w:p>
      <w:pPr>
        <w:spacing w:line="360" w:after="210" w:lineRule="auto"/>
      </w:pPr>
      <w:r>
        <w:rPr>
          <w:rFonts w:eastAsia="inter" w:cs="inter" w:ascii="inter" w:hAnsi="inter"/>
          <w:color w:val="000000"/>
        </w:rPr>
        <w:t xml:space="preserve">Members have protected rights to:</w:t>
      </w:r>
    </w:p>
    <w:p>
      <w:pPr>
        <w:numPr>
          <w:ilvl w:val="0"/>
          <w:numId w:val="8"/>
        </w:numPr>
        <w:spacing w:line="360" w:before="105" w:after="105" w:lineRule="auto"/>
      </w:pPr>
      <w:r>
        <w:rPr>
          <w:rFonts w:eastAsia="inter" w:cs="inter" w:ascii="inter" w:hAnsi="inter"/>
          <w:b/>
          <w:color w:val="000000"/>
          <w:sz w:val="21"/>
        </w:rPr>
        <w:t xml:space="preserve">Democratic evaluation and approval</w:t>
      </w:r>
      <w:r>
        <w:rPr>
          <w:rFonts w:eastAsia="inter" w:cs="inter" w:ascii="inter" w:hAnsi="inter"/>
          <w:color w:val="000000"/>
          <w:sz w:val="21"/>
        </w:rPr>
        <w:t xml:space="preserve"> of Initial Stake Pool Offering (ISPO) projects through constitutional processes</w:t>
      </w:r>
    </w:p>
    <w:p>
      <w:pPr>
        <w:numPr>
          <w:ilvl w:val="0"/>
          <w:numId w:val="8"/>
        </w:numPr>
        <w:spacing w:line="360" w:before="105" w:after="105" w:lineRule="auto"/>
      </w:pPr>
      <w:r>
        <w:rPr>
          <w:rFonts w:eastAsia="inter" w:cs="inter" w:ascii="inter" w:hAnsi="inter"/>
          <w:b/>
          <w:color w:val="000000"/>
          <w:sz w:val="21"/>
        </w:rPr>
        <w:t xml:space="preserve">Voluntary participation</w:t>
      </w:r>
      <w:r>
        <w:rPr>
          <w:rFonts w:eastAsia="inter" w:cs="inter" w:ascii="inter" w:hAnsi="inter"/>
          <w:color w:val="000000"/>
          <w:sz w:val="21"/>
        </w:rPr>
        <w:t xml:space="preserve"> in community-managed ISPO projects without coercion or discrimination</w:t>
      </w:r>
    </w:p>
    <w:p>
      <w:pPr>
        <w:numPr>
          <w:ilvl w:val="0"/>
          <w:numId w:val="8"/>
        </w:numPr>
        <w:spacing w:line="360" w:before="105" w:after="105" w:lineRule="auto"/>
      </w:pPr>
      <w:r>
        <w:rPr>
          <w:rFonts w:eastAsia="inter" w:cs="inter" w:ascii="inter" w:hAnsi="inter"/>
          <w:b/>
          <w:color w:val="000000"/>
          <w:sz w:val="21"/>
        </w:rPr>
        <w:t xml:space="preserve">100% reward ownership</w:t>
      </w:r>
      <w:r>
        <w:rPr>
          <w:rFonts w:eastAsia="inter" w:cs="inter" w:ascii="inter" w:hAnsi="inter"/>
          <w:color w:val="000000"/>
          <w:sz w:val="21"/>
        </w:rPr>
        <w:t xml:space="preserve"> from ISPO project participation without extraction by governance structures</w:t>
      </w:r>
    </w:p>
    <w:p>
      <w:pPr>
        <w:numPr>
          <w:ilvl w:val="0"/>
          <w:numId w:val="8"/>
        </w:numPr>
        <w:spacing w:line="360" w:before="105" w:after="105" w:lineRule="auto"/>
      </w:pPr>
      <w:r>
        <w:rPr>
          <w:rFonts w:eastAsia="inter" w:cs="inter" w:ascii="inter" w:hAnsi="inter"/>
          <w:b/>
          <w:color w:val="000000"/>
          <w:sz w:val="21"/>
        </w:rPr>
        <w:t xml:space="preserve">NFT ownership rights</w:t>
      </w:r>
      <w:r>
        <w:rPr>
          <w:rFonts w:eastAsia="inter" w:cs="inter" w:ascii="inter" w:hAnsi="inter"/>
          <w:color w:val="000000"/>
          <w:sz w:val="21"/>
        </w:rPr>
        <w:t xml:space="preserve"> for ISPO participation tokens and project rewards</w:t>
      </w:r>
    </w:p>
    <w:p>
      <w:pPr>
        <w:spacing w:line="360" w:before="315" w:after="105" w:lineRule="auto"/>
        <w:ind w:left="-30"/>
        <w:jc w:val="left"/>
      </w:pPr>
      <w:r>
        <w:rPr>
          <w:rFonts w:eastAsia="inter" w:cs="inter" w:ascii="inter" w:hAnsi="inter"/>
          <w:b/>
          <w:color w:val="000000"/>
          <w:sz w:val="24"/>
        </w:rPr>
        <w:t xml:space="preserve">Article III: Freedom of Commerce and Economic Participation</w:t>
      </w:r>
    </w:p>
    <w:p>
      <w:pPr>
        <w:spacing w:line="360" w:before="315" w:after="105" w:lineRule="auto"/>
        <w:ind w:left="-30"/>
        <w:jc w:val="left"/>
      </w:pPr>
      <w:r>
        <w:rPr>
          <w:rFonts w:eastAsia="inter" w:cs="inter" w:ascii="inter" w:hAnsi="inter"/>
          <w:b/>
          <w:color w:val="000000"/>
          <w:sz w:val="24"/>
        </w:rPr>
        <w:t xml:space="preserve">Section 3.1 Economic Self-Determination</w:t>
      </w:r>
    </w:p>
    <w:p>
      <w:pPr>
        <w:spacing w:line="360" w:after="210" w:lineRule="auto"/>
      </w:pPr>
      <w:r>
        <w:rPr>
          <w:rFonts w:eastAsia="inter" w:cs="inter" w:ascii="inter" w:hAnsi="inter"/>
          <w:color w:val="000000"/>
        </w:rPr>
        <w:t xml:space="preserve">Every member shall have the fundamental right to:</w:t>
      </w:r>
    </w:p>
    <w:p>
      <w:pPr>
        <w:numPr>
          <w:ilvl w:val="0"/>
          <w:numId w:val="9"/>
        </w:numPr>
        <w:spacing w:line="360" w:before="105" w:after="105" w:lineRule="auto"/>
      </w:pPr>
      <w:r>
        <w:rPr>
          <w:rFonts w:eastAsia="inter" w:cs="inter" w:ascii="inter" w:hAnsi="inter"/>
          <w:color w:val="000000"/>
          <w:sz w:val="21"/>
        </w:rPr>
        <w:t xml:space="preserve">Participate in all C3 economic activities on equal terms regardless of wealth, status, faction affiliation, or </w:t>
      </w:r>
      <w:r>
        <w:rPr>
          <w:rFonts w:eastAsia="inter" w:cs="inter" w:ascii="inter" w:hAnsi="inter"/>
          <w:b/>
          <w:color w:val="000000"/>
          <w:sz w:val="21"/>
        </w:rPr>
        <w:t xml:space="preserve">chosen vault asset types</w:t>
      </w:r>
    </w:p>
    <w:p>
      <w:pPr>
        <w:numPr>
          <w:ilvl w:val="0"/>
          <w:numId w:val="9"/>
        </w:numPr>
        <w:spacing w:line="360" w:before="105" w:after="105" w:lineRule="auto"/>
      </w:pPr>
      <w:r>
        <w:rPr>
          <w:rFonts w:eastAsia="inter" w:cs="inter" w:ascii="inter" w:hAnsi="inter"/>
          <w:color w:val="000000"/>
          <w:sz w:val="21"/>
        </w:rPr>
        <w:t xml:space="preserve">Receive surplus refunds proportional to their patronage when C3 operations generate excess revenue</w:t>
      </w:r>
    </w:p>
    <w:p>
      <w:pPr>
        <w:numPr>
          <w:ilvl w:val="0"/>
          <w:numId w:val="9"/>
        </w:numPr>
        <w:spacing w:line="360" w:before="105" w:after="105" w:lineRule="auto"/>
      </w:pPr>
      <w:r>
        <w:rPr>
          <w:rFonts w:eastAsia="inter" w:cs="inter" w:ascii="inter" w:hAnsi="inter"/>
          <w:color w:val="000000"/>
          <w:sz w:val="21"/>
        </w:rPr>
        <w:t xml:space="preserve">Share deficit responsibility fairly when C3 operations require additional member contributions</w:t>
      </w:r>
    </w:p>
    <w:p>
      <w:pPr>
        <w:numPr>
          <w:ilvl w:val="0"/>
          <w:numId w:val="9"/>
        </w:numPr>
        <w:spacing w:line="360" w:before="105" w:after="105" w:lineRule="auto"/>
      </w:pPr>
      <w:r>
        <w:rPr>
          <w:rFonts w:eastAsia="inter" w:cs="inter" w:ascii="inter" w:hAnsi="inter"/>
          <w:color w:val="000000"/>
          <w:sz w:val="21"/>
        </w:rPr>
        <w:t xml:space="preserve">Access the CapX marketplace to bid on Impact Offers and </w:t>
      </w:r>
      <w:r>
        <w:rPr>
          <w:rFonts w:eastAsia="inter" w:cs="inter" w:ascii="inter" w:hAnsi="inter"/>
          <w:b/>
          <w:color w:val="000000"/>
          <w:sz w:val="21"/>
        </w:rPr>
        <w:t xml:space="preserve">trade CONX tokens</w:t>
      </w:r>
      <w:r>
        <w:rPr>
          <w:rFonts w:eastAsia="inter" w:cs="inter" w:ascii="inter" w:hAnsi="inter"/>
          <w:color w:val="000000"/>
          <w:sz w:val="21"/>
        </w:rPr>
        <w:t xml:space="preserve"> without discrimination or artificial barriers</w:t>
      </w:r>
    </w:p>
    <w:p>
      <w:pPr>
        <w:spacing w:line="360" w:before="315" w:after="105" w:lineRule="auto"/>
        <w:ind w:left="-30"/>
        <w:jc w:val="left"/>
      </w:pPr>
      <w:r>
        <w:rPr>
          <w:rFonts w:eastAsia="inter" w:cs="inter" w:ascii="inter" w:hAnsi="inter"/>
          <w:b/>
          <w:color w:val="000000"/>
          <w:sz w:val="24"/>
        </w:rPr>
        <w:t xml:space="preserve">Section 3.2 Revolutionary Asset Sovereignty Rights</w:t>
      </w:r>
    </w:p>
    <w:p>
      <w:pPr>
        <w:spacing w:line="360" w:after="210" w:lineRule="auto"/>
      </w:pPr>
      <w:r>
        <w:rPr>
          <w:rFonts w:eastAsia="inter" w:cs="inter" w:ascii="inter" w:hAnsi="inter"/>
          <w:color w:val="000000"/>
        </w:rPr>
        <w:t xml:space="preserve">Members retain absolute control over:</w:t>
      </w:r>
    </w:p>
    <w:p>
      <w:pPr>
        <w:numPr>
          <w:ilvl w:val="0"/>
          <w:numId w:val="10"/>
        </w:numPr>
        <w:spacing w:line="360" w:before="105" w:after="105" w:lineRule="auto"/>
      </w:pPr>
      <w:r>
        <w:rPr>
          <w:rFonts w:eastAsia="inter" w:cs="inter" w:ascii="inter" w:hAnsi="inter"/>
          <w:b/>
          <w:color w:val="000000"/>
          <w:sz w:val="21"/>
        </w:rPr>
        <w:t xml:space="preserve">Choice of ANY C3-approved asset</w:t>
      </w:r>
      <w:r>
        <w:rPr>
          <w:rFonts w:eastAsia="inter" w:cs="inter" w:ascii="inter" w:hAnsi="inter"/>
          <w:color w:val="000000"/>
          <w:sz w:val="21"/>
        </w:rPr>
        <w:t xml:space="preserve"> for vault funding, including cryptocurrencies, stablecoins, NFTs, and democratically approved tokens</w:t>
      </w:r>
    </w:p>
    <w:p>
      <w:pPr>
        <w:numPr>
          <w:ilvl w:val="0"/>
          <w:numId w:val="10"/>
        </w:numPr>
        <w:spacing w:line="360" w:before="105" w:after="105" w:lineRule="auto"/>
      </w:pPr>
      <w:r>
        <w:rPr>
          <w:rFonts w:eastAsia="inter" w:cs="inter" w:ascii="inter" w:hAnsi="inter"/>
          <w:b/>
          <w:color w:val="000000"/>
          <w:sz w:val="21"/>
        </w:rPr>
        <w:t xml:space="preserve">Multi-blockchain participation</w:t>
      </w:r>
      <w:r>
        <w:rPr>
          <w:rFonts w:eastAsia="inter" w:cs="inter" w:ascii="inter" w:hAnsi="inter"/>
          <w:color w:val="000000"/>
          <w:sz w:val="21"/>
        </w:rPr>
        <w:t xml:space="preserve"> without forced conversion to specific cryptocurrencies or tokens</w:t>
      </w:r>
    </w:p>
    <w:p>
      <w:pPr>
        <w:numPr>
          <w:ilvl w:val="0"/>
          <w:numId w:val="10"/>
        </w:numPr>
        <w:spacing w:line="360" w:before="105" w:after="105" w:lineRule="auto"/>
      </w:pPr>
      <w:r>
        <w:rPr>
          <w:rFonts w:eastAsia="inter" w:cs="inter" w:ascii="inter" w:hAnsi="inter"/>
          <w:b/>
          <w:color w:val="000000"/>
          <w:sz w:val="21"/>
        </w:rPr>
        <w:t xml:space="preserve">CONX conversion timing</w:t>
      </w:r>
      <w:r>
        <w:rPr>
          <w:rFonts w:eastAsia="inter" w:cs="inter" w:ascii="inter" w:hAnsi="inter"/>
          <w:color w:val="000000"/>
          <w:sz w:val="21"/>
        </w:rPr>
        <w:t xml:space="preserve"> and rates through democratic processes and market mechanisms</w:t>
      </w:r>
    </w:p>
    <w:p>
      <w:pPr>
        <w:numPr>
          <w:ilvl w:val="0"/>
          <w:numId w:val="10"/>
        </w:numPr>
        <w:spacing w:line="360" w:before="105" w:after="105" w:lineRule="auto"/>
      </w:pPr>
      <w:r>
        <w:rPr>
          <w:rFonts w:eastAsia="inter" w:cs="inter" w:ascii="inter" w:hAnsi="inter"/>
          <w:b/>
          <w:color w:val="000000"/>
          <w:sz w:val="21"/>
        </w:rPr>
        <w:t xml:space="preserve">NFT productive utilization</w:t>
      </w:r>
      <w:r>
        <w:rPr>
          <w:rFonts w:eastAsia="inter" w:cs="inter" w:ascii="inter" w:hAnsi="inter"/>
          <w:color w:val="000000"/>
          <w:sz w:val="21"/>
        </w:rPr>
        <w:t xml:space="preserve"> as vault collateral and economic participation tools</w:t>
      </w:r>
    </w:p>
    <w:p>
      <w:pPr>
        <w:numPr>
          <w:ilvl w:val="0"/>
          <w:numId w:val="10"/>
        </w:numPr>
        <w:spacing w:line="360" w:before="105" w:after="105" w:lineRule="auto"/>
      </w:pPr>
      <w:r>
        <w:rPr>
          <w:rFonts w:eastAsia="inter" w:cs="inter" w:ascii="inter" w:hAnsi="inter"/>
          <w:b/>
          <w:color w:val="000000"/>
          <w:sz w:val="21"/>
        </w:rPr>
        <w:t xml:space="preserve">Investment decisions</w:t>
      </w:r>
      <w:r>
        <w:rPr>
          <w:rFonts w:eastAsia="inter" w:cs="inter" w:ascii="inter" w:hAnsi="inter"/>
          <w:color w:val="000000"/>
          <w:sz w:val="21"/>
        </w:rPr>
        <w:t xml:space="preserve"> regarding C-Bills, ISPO projects, yield farming, and other treasury-supported opportunities</w:t>
      </w:r>
    </w:p>
    <w:p>
      <w:pPr>
        <w:spacing w:line="360" w:before="315" w:after="105" w:lineRule="auto"/>
        <w:ind w:left="-30"/>
        <w:jc w:val="left"/>
      </w:pPr>
      <w:r>
        <w:rPr>
          <w:rFonts w:eastAsia="inter" w:cs="inter" w:ascii="inter" w:hAnsi="inter"/>
          <w:b/>
          <w:color w:val="000000"/>
          <w:sz w:val="24"/>
        </w:rPr>
        <w:t xml:space="preserve">Section 3.3 Universal Payment and Fee Rights</w:t>
      </w:r>
    </w:p>
    <w:p>
      <w:pPr>
        <w:spacing w:line="360" w:after="210" w:lineRule="auto"/>
      </w:pPr>
      <w:r>
        <w:rPr>
          <w:rFonts w:eastAsia="inter" w:cs="inter" w:ascii="inter" w:hAnsi="inter"/>
          <w:color w:val="000000"/>
        </w:rPr>
        <w:t xml:space="preserve">All economic interactions must provide:</w:t>
      </w:r>
    </w:p>
    <w:p>
      <w:pPr>
        <w:numPr>
          <w:ilvl w:val="0"/>
          <w:numId w:val="11"/>
        </w:numPr>
        <w:spacing w:line="360" w:before="105" w:after="105" w:lineRule="auto"/>
      </w:pPr>
      <w:r>
        <w:rPr>
          <w:rFonts w:eastAsia="inter" w:cs="inter" w:ascii="inter" w:hAnsi="inter"/>
          <w:b/>
          <w:color w:val="000000"/>
          <w:sz w:val="21"/>
        </w:rPr>
        <w:t xml:space="preserve">CONX universal acceptance</w:t>
      </w:r>
      <w:r>
        <w:rPr>
          <w:rFonts w:eastAsia="inter" w:cs="inter" w:ascii="inter" w:hAnsi="inter"/>
          <w:color w:val="000000"/>
          <w:sz w:val="21"/>
        </w:rPr>
        <w:t xml:space="preserve"> as payment for all fees, services, and transactions within the C3 Alliance</w:t>
      </w:r>
    </w:p>
    <w:p>
      <w:pPr>
        <w:numPr>
          <w:ilvl w:val="0"/>
          <w:numId w:val="11"/>
        </w:numPr>
        <w:spacing w:line="360" w:before="105" w:after="105" w:lineRule="auto"/>
      </w:pPr>
      <w:r>
        <w:rPr>
          <w:rFonts w:eastAsia="inter" w:cs="inter" w:ascii="inter" w:hAnsi="inter"/>
          <w:b/>
          <w:color w:val="000000"/>
          <w:sz w:val="21"/>
        </w:rPr>
        <w:t xml:space="preserve">Democratic rate determination</w:t>
      </w:r>
      <w:r>
        <w:rPr>
          <w:rFonts w:eastAsia="inter" w:cs="inter" w:ascii="inter" w:hAnsi="inter"/>
          <w:color w:val="000000"/>
          <w:sz w:val="21"/>
        </w:rPr>
        <w:t xml:space="preserve"> for PPT-to-CONX conversion through constitutional governance processes</w:t>
      </w:r>
    </w:p>
    <w:p>
      <w:pPr>
        <w:numPr>
          <w:ilvl w:val="0"/>
          <w:numId w:val="11"/>
        </w:numPr>
        <w:spacing w:line="360" w:before="105" w:after="105" w:lineRule="auto"/>
      </w:pPr>
      <w:r>
        <w:rPr>
          <w:rFonts w:eastAsia="inter" w:cs="inter" w:ascii="inter" w:hAnsi="inter"/>
          <w:b/>
          <w:color w:val="000000"/>
          <w:sz w:val="21"/>
        </w:rPr>
        <w:t xml:space="preserve">Market-based price discovery</w:t>
      </w:r>
      <w:r>
        <w:rPr>
          <w:rFonts w:eastAsia="inter" w:cs="inter" w:ascii="inter" w:hAnsi="inter"/>
          <w:color w:val="000000"/>
          <w:sz w:val="21"/>
        </w:rPr>
        <w:t xml:space="preserve"> through CapX marketplace dynamics balanced with democratic oversight</w:t>
      </w:r>
    </w:p>
    <w:p>
      <w:pPr>
        <w:numPr>
          <w:ilvl w:val="0"/>
          <w:numId w:val="11"/>
        </w:numPr>
        <w:spacing w:line="360" w:before="105" w:after="105" w:lineRule="auto"/>
      </w:pPr>
      <w:r>
        <w:rPr>
          <w:rFonts w:eastAsia="inter" w:cs="inter" w:ascii="inter" w:hAnsi="inter"/>
          <w:b/>
          <w:color w:val="000000"/>
          <w:sz w:val="21"/>
        </w:rPr>
        <w:t xml:space="preserve">Transparent pricing</w:t>
      </w:r>
      <w:r>
        <w:rPr>
          <w:rFonts w:eastAsia="inter" w:cs="inter" w:ascii="inter" w:hAnsi="inter"/>
          <w:color w:val="000000"/>
          <w:sz w:val="21"/>
        </w:rPr>
        <w:t xml:space="preserve"> through open-source smart contracts and auditable blockchain transactions</w:t>
      </w:r>
    </w:p>
    <w:p>
      <w:pPr>
        <w:numPr>
          <w:ilvl w:val="0"/>
          <w:numId w:val="11"/>
        </w:numPr>
        <w:spacing w:line="360" w:before="105" w:after="105" w:lineRule="auto"/>
      </w:pPr>
      <w:r>
        <w:rPr>
          <w:rFonts w:eastAsia="inter" w:cs="inter" w:ascii="inter" w:hAnsi="inter"/>
          <w:b/>
          <w:color w:val="000000"/>
          <w:sz w:val="21"/>
        </w:rPr>
        <w:t xml:space="preserve">Equal opportunity access</w:t>
      </w:r>
      <w:r>
        <w:rPr>
          <w:rFonts w:eastAsia="inter" w:cs="inter" w:ascii="inter" w:hAnsi="inter"/>
          <w:color w:val="000000"/>
          <w:sz w:val="21"/>
        </w:rPr>
        <w:t xml:space="preserve"> to all services, with prices based solely on cost recovery plus reasonable reserves</w:t>
      </w:r>
    </w:p>
    <w:p>
      <w:pPr>
        <w:spacing w:line="360" w:before="315" w:after="105" w:lineRule="auto"/>
        <w:ind w:left="-30"/>
        <w:jc w:val="left"/>
      </w:pPr>
      <w:r>
        <w:rPr>
          <w:rFonts w:eastAsia="inter" w:cs="inter" w:ascii="inter" w:hAnsi="inter"/>
          <w:b/>
          <w:color w:val="000000"/>
          <w:sz w:val="24"/>
        </w:rPr>
        <w:t xml:space="preserve">Section 3.4 ISPO and Project Economic Rights</w:t>
      </w:r>
    </w:p>
    <w:p>
      <w:pPr>
        <w:spacing w:line="360" w:after="210" w:lineRule="auto"/>
      </w:pPr>
      <w:r>
        <w:rPr>
          <w:rFonts w:eastAsia="inter" w:cs="inter" w:ascii="inter" w:hAnsi="inter"/>
          <w:color w:val="000000"/>
        </w:rPr>
        <w:t xml:space="preserve">Members possess protected rights to:</w:t>
      </w:r>
    </w:p>
    <w:p>
      <w:pPr>
        <w:numPr>
          <w:ilvl w:val="0"/>
          <w:numId w:val="12"/>
        </w:numPr>
        <w:spacing w:line="360" w:before="105" w:after="105" w:lineRule="auto"/>
      </w:pPr>
      <w:r>
        <w:rPr>
          <w:rFonts w:eastAsia="inter" w:cs="inter" w:ascii="inter" w:hAnsi="inter"/>
          <w:b/>
          <w:color w:val="000000"/>
          <w:sz w:val="21"/>
        </w:rPr>
        <w:t xml:space="preserve">Democratic ISPO project evaluation</w:t>
      </w:r>
      <w:r>
        <w:rPr>
          <w:rFonts w:eastAsia="inter" w:cs="inter" w:ascii="inter" w:hAnsi="inter"/>
          <w:color w:val="000000"/>
          <w:sz w:val="21"/>
        </w:rPr>
        <w:t xml:space="preserve"> and approval through Impact Quest constitutional processes</w:t>
      </w:r>
    </w:p>
    <w:p>
      <w:pPr>
        <w:numPr>
          <w:ilvl w:val="0"/>
          <w:numId w:val="12"/>
        </w:numPr>
        <w:spacing w:line="360" w:before="105" w:after="105" w:lineRule="auto"/>
      </w:pPr>
      <w:r>
        <w:rPr>
          <w:rFonts w:eastAsia="inter" w:cs="inter" w:ascii="inter" w:hAnsi="inter"/>
          <w:b/>
          <w:color w:val="000000"/>
          <w:sz w:val="21"/>
        </w:rPr>
        <w:t xml:space="preserve">Community-vetted project participation</w:t>
      </w:r>
      <w:r>
        <w:rPr>
          <w:rFonts w:eastAsia="inter" w:cs="inter" w:ascii="inter" w:hAnsi="inter"/>
          <w:color w:val="000000"/>
          <w:sz w:val="21"/>
        </w:rPr>
        <w:t xml:space="preserve"> with protection from fraudulent or harmful projects</w:t>
      </w:r>
    </w:p>
    <w:p>
      <w:pPr>
        <w:numPr>
          <w:ilvl w:val="0"/>
          <w:numId w:val="12"/>
        </w:numPr>
        <w:spacing w:line="360" w:before="105" w:after="105" w:lineRule="auto"/>
      </w:pPr>
      <w:r>
        <w:rPr>
          <w:rFonts w:eastAsia="inter" w:cs="inter" w:ascii="inter" w:hAnsi="inter"/>
          <w:b/>
          <w:color w:val="000000"/>
          <w:sz w:val="21"/>
        </w:rPr>
        <w:t xml:space="preserve">100% reward ownership</w:t>
      </w:r>
      <w:r>
        <w:rPr>
          <w:rFonts w:eastAsia="inter" w:cs="inter" w:ascii="inter" w:hAnsi="inter"/>
          <w:color w:val="000000"/>
          <w:sz w:val="21"/>
        </w:rPr>
        <w:t xml:space="preserve"> from ISPO participation without governance extraction or platform fees</w:t>
      </w:r>
    </w:p>
    <w:p>
      <w:pPr>
        <w:numPr>
          <w:ilvl w:val="0"/>
          <w:numId w:val="12"/>
        </w:numPr>
        <w:spacing w:line="360" w:before="105" w:after="105" w:lineRule="auto"/>
      </w:pPr>
      <w:r>
        <w:rPr>
          <w:rFonts w:eastAsia="inter" w:cs="inter" w:ascii="inter" w:hAnsi="inter"/>
          <w:b/>
          <w:color w:val="000000"/>
          <w:sz w:val="21"/>
        </w:rPr>
        <w:t xml:space="preserve">NFT reward trading</w:t>
      </w:r>
      <w:r>
        <w:rPr>
          <w:rFonts w:eastAsia="inter" w:cs="inter" w:ascii="inter" w:hAnsi="inter"/>
          <w:color w:val="000000"/>
          <w:sz w:val="21"/>
        </w:rPr>
        <w:t xml:space="preserve"> and utilization on CapX marketplace and external platforms</w:t>
      </w:r>
    </w:p>
    <w:p>
      <w:pPr>
        <w:spacing w:line="360" w:before="315" w:after="105" w:lineRule="auto"/>
        <w:ind w:left="-30"/>
        <w:jc w:val="left"/>
      </w:pPr>
      <w:r>
        <w:rPr>
          <w:rFonts w:eastAsia="inter" w:cs="inter" w:ascii="inter" w:hAnsi="inter"/>
          <w:b/>
          <w:color w:val="000000"/>
          <w:sz w:val="24"/>
        </w:rPr>
        <w:t xml:space="preserve">Section 3.5 Cooperative Economic Guarantees</w:t>
      </w:r>
    </w:p>
    <w:p>
      <w:pPr>
        <w:spacing w:line="360" w:after="210" w:lineRule="auto"/>
      </w:pPr>
      <w:r>
        <w:rPr>
          <w:rFonts w:eastAsia="inter" w:cs="inter" w:ascii="inter" w:hAnsi="inter"/>
          <w:color w:val="000000"/>
        </w:rPr>
        <w:t xml:space="preserve">Commerce within C3s shall always prioritize:</w:t>
      </w:r>
    </w:p>
    <w:p>
      <w:pPr>
        <w:numPr>
          <w:ilvl w:val="0"/>
          <w:numId w:val="13"/>
        </w:numPr>
        <w:spacing w:line="360" w:before="105" w:after="105" w:lineRule="auto"/>
      </w:pPr>
      <w:r>
        <w:rPr>
          <w:rFonts w:eastAsia="inter" w:cs="inter" w:ascii="inter" w:hAnsi="inter"/>
          <w:b/>
          <w:color w:val="000000"/>
          <w:sz w:val="21"/>
        </w:rPr>
        <w:t xml:space="preserve">Member service over profit maximization</w:t>
      </w:r>
      <w:r>
        <w:rPr>
          <w:rFonts w:eastAsia="inter" w:cs="inter" w:ascii="inter" w:hAnsi="inter"/>
          <w:color w:val="000000"/>
          <w:sz w:val="21"/>
        </w:rPr>
        <w:t xml:space="preserve">, ensuring all economic activity serves human needs rather than capital accumulation</w:t>
      </w:r>
    </w:p>
    <w:p>
      <w:pPr>
        <w:numPr>
          <w:ilvl w:val="0"/>
          <w:numId w:val="13"/>
        </w:numPr>
        <w:spacing w:line="360" w:before="105" w:after="105" w:lineRule="auto"/>
      </w:pPr>
      <w:r>
        <w:rPr>
          <w:rFonts w:eastAsia="inter" w:cs="inter" w:ascii="inter" w:hAnsi="inter"/>
          <w:b/>
          <w:color w:val="000000"/>
          <w:sz w:val="21"/>
        </w:rPr>
        <w:t xml:space="preserve">Equitable distribution</w:t>
      </w:r>
      <w:r>
        <w:rPr>
          <w:rFonts w:eastAsia="inter" w:cs="inter" w:ascii="inter" w:hAnsi="inter"/>
          <w:color w:val="000000"/>
          <w:sz w:val="21"/>
        </w:rPr>
        <w:t xml:space="preserve"> of both opportunities and obligations among all members regardless of their economic contribution or asset choices</w:t>
      </w:r>
    </w:p>
    <w:p>
      <w:pPr>
        <w:numPr>
          <w:ilvl w:val="0"/>
          <w:numId w:val="13"/>
        </w:numPr>
        <w:spacing w:line="360" w:before="105" w:after="105" w:lineRule="auto"/>
      </w:pPr>
      <w:r>
        <w:rPr>
          <w:rFonts w:eastAsia="inter" w:cs="inter" w:ascii="inter" w:hAnsi="inter"/>
          <w:b/>
          <w:color w:val="000000"/>
          <w:sz w:val="21"/>
        </w:rPr>
        <w:t xml:space="preserve">Democratic control of capital</w:t>
      </w:r>
      <w:r>
        <w:rPr>
          <w:rFonts w:eastAsia="inter" w:cs="inter" w:ascii="inter" w:hAnsi="inter"/>
          <w:color w:val="000000"/>
          <w:sz w:val="21"/>
        </w:rPr>
        <w:t xml:space="preserve"> with member-elected oversight of all treasury operations and multi-asset investments</w:t>
      </w:r>
    </w:p>
    <w:p>
      <w:pPr>
        <w:numPr>
          <w:ilvl w:val="0"/>
          <w:numId w:val="13"/>
        </w:numPr>
        <w:spacing w:line="360" w:before="105" w:after="105" w:lineRule="auto"/>
      </w:pPr>
      <w:r>
        <w:rPr>
          <w:rFonts w:eastAsia="inter" w:cs="inter" w:ascii="inter" w:hAnsi="inter"/>
          <w:b/>
          <w:color w:val="000000"/>
          <w:sz w:val="21"/>
        </w:rPr>
        <w:t xml:space="preserve">Sustainable development</w:t>
      </w:r>
      <w:r>
        <w:rPr>
          <w:rFonts w:eastAsia="inter" w:cs="inter" w:ascii="inter" w:hAnsi="inter"/>
          <w:color w:val="000000"/>
          <w:sz w:val="21"/>
        </w:rPr>
        <w:t xml:space="preserve"> that considers long-term community wellbeing over short-term financial gains</w:t>
      </w:r>
    </w:p>
    <w:p>
      <w:pPr>
        <w:spacing w:line="360" w:before="315" w:after="105" w:lineRule="auto"/>
        <w:ind w:left="-30"/>
        <w:jc w:val="left"/>
      </w:pPr>
      <w:r>
        <w:rPr>
          <w:rFonts w:eastAsia="inter" w:cs="inter" w:ascii="inter" w:hAnsi="inter"/>
          <w:b/>
          <w:color w:val="000000"/>
          <w:sz w:val="24"/>
        </w:rPr>
        <w:t xml:space="preserve">Article IV: Freedom of Expression and Information</w:t>
      </w:r>
    </w:p>
    <w:p>
      <w:pPr>
        <w:spacing w:line="360" w:before="315" w:after="105" w:lineRule="auto"/>
        <w:ind w:left="-30"/>
        <w:jc w:val="left"/>
      </w:pPr>
      <w:r>
        <w:rPr>
          <w:rFonts w:eastAsia="inter" w:cs="inter" w:ascii="inter" w:hAnsi="inter"/>
          <w:b/>
          <w:color w:val="000000"/>
          <w:sz w:val="24"/>
        </w:rPr>
        <w:t xml:space="preserve">Section 4.1 Digital Speech Rights</w:t>
      </w:r>
    </w:p>
    <w:p>
      <w:pPr>
        <w:spacing w:line="360" w:after="210" w:lineRule="auto"/>
      </w:pPr>
      <w:r>
        <w:rPr>
          <w:rFonts w:eastAsia="inter" w:cs="inter" w:ascii="inter" w:hAnsi="inter"/>
          <w:color w:val="000000"/>
        </w:rPr>
        <w:t xml:space="preserve">Every member possesses the unalienable right to:</w:t>
      </w:r>
    </w:p>
    <w:p>
      <w:pPr>
        <w:numPr>
          <w:ilvl w:val="0"/>
          <w:numId w:val="14"/>
        </w:numPr>
        <w:spacing w:line="360" w:before="105" w:after="105" w:lineRule="auto"/>
      </w:pPr>
      <w:r>
        <w:rPr>
          <w:rFonts w:eastAsia="inter" w:cs="inter" w:ascii="inter" w:hAnsi="inter"/>
          <w:color w:val="000000"/>
          <w:sz w:val="21"/>
        </w:rPr>
        <w:t xml:space="preserve">Express opinions freely within C3 governance forums, faction meetings, and public Alliance discussions</w:t>
      </w:r>
    </w:p>
    <w:p>
      <w:pPr>
        <w:numPr>
          <w:ilvl w:val="0"/>
          <w:numId w:val="14"/>
        </w:numPr>
        <w:spacing w:line="360" w:before="105" w:after="105" w:lineRule="auto"/>
      </w:pPr>
      <w:r>
        <w:rPr>
          <w:rFonts w:eastAsia="inter" w:cs="inter" w:ascii="inter" w:hAnsi="inter"/>
          <w:color w:val="000000"/>
          <w:sz w:val="21"/>
        </w:rPr>
        <w:t xml:space="preserve">Publish information using blockchain-based systems resistant to censorship and data manipulation</w:t>
      </w:r>
    </w:p>
    <w:p>
      <w:pPr>
        <w:numPr>
          <w:ilvl w:val="0"/>
          <w:numId w:val="14"/>
        </w:numPr>
        <w:spacing w:line="360" w:before="105" w:after="105" w:lineRule="auto"/>
      </w:pPr>
      <w:r>
        <w:rPr>
          <w:rFonts w:eastAsia="inter" w:cs="inter" w:ascii="inter" w:hAnsi="inter"/>
          <w:color w:val="000000"/>
          <w:sz w:val="21"/>
        </w:rPr>
        <w:t xml:space="preserve">Access all public records related to C3 operations, treasury management, and governance decisions</w:t>
      </w:r>
    </w:p>
    <w:p>
      <w:pPr>
        <w:numPr>
          <w:ilvl w:val="0"/>
          <w:numId w:val="14"/>
        </w:numPr>
        <w:spacing w:line="360" w:before="105" w:after="105" w:lineRule="auto"/>
      </w:pPr>
      <w:r>
        <w:rPr>
          <w:rFonts w:eastAsia="inter" w:cs="inter" w:ascii="inter" w:hAnsi="inter"/>
          <w:color w:val="000000"/>
          <w:sz w:val="21"/>
        </w:rPr>
        <w:t xml:space="preserve">Maintain pseudonymous identity when personal safety or privacy concerns warrant anonymity</w:t>
      </w:r>
    </w:p>
    <w:p>
      <w:pPr>
        <w:numPr>
          <w:ilvl w:val="0"/>
          <w:numId w:val="14"/>
        </w:numPr>
        <w:spacing w:line="360" w:before="105" w:after="105" w:lineRule="auto"/>
      </w:pPr>
      <w:r>
        <w:rPr>
          <w:rFonts w:eastAsia="inter" w:cs="inter" w:ascii="inter" w:hAnsi="inter"/>
          <w:b/>
          <w:color w:val="000000"/>
          <w:sz w:val="21"/>
        </w:rPr>
        <w:t xml:space="preserve">Advocate for specific asset types</w:t>
      </w:r>
      <w:r>
        <w:rPr>
          <w:rFonts w:eastAsia="inter" w:cs="inter" w:ascii="inter" w:hAnsi="inter"/>
          <w:color w:val="000000"/>
          <w:sz w:val="21"/>
        </w:rPr>
        <w:t xml:space="preserve"> or blockchain preferences without discrimination or retaliation</w:t>
      </w:r>
    </w:p>
    <w:p>
      <w:pPr>
        <w:spacing w:line="360" w:before="315" w:after="105" w:lineRule="auto"/>
        <w:ind w:left="-30"/>
        <w:jc w:val="left"/>
      </w:pPr>
      <w:r>
        <w:rPr>
          <w:rFonts w:eastAsia="inter" w:cs="inter" w:ascii="inter" w:hAnsi="inter"/>
          <w:b/>
          <w:color w:val="000000"/>
          <w:sz w:val="24"/>
        </w:rPr>
        <w:t xml:space="preserve">Section 4.2 Information Sovereignty</w:t>
      </w:r>
    </w:p>
    <w:p>
      <w:pPr>
        <w:spacing w:line="360" w:after="210" w:lineRule="auto"/>
      </w:pPr>
      <w:r>
        <w:rPr>
          <w:rFonts w:eastAsia="inter" w:cs="inter" w:ascii="inter" w:hAnsi="inter"/>
          <w:color w:val="000000"/>
        </w:rPr>
        <w:t xml:space="preserve">Members shall have absolute control over:</w:t>
      </w:r>
    </w:p>
    <w:p>
      <w:pPr>
        <w:numPr>
          <w:ilvl w:val="0"/>
          <w:numId w:val="15"/>
        </w:numPr>
        <w:spacing w:line="360" w:before="105" w:after="105" w:lineRule="auto"/>
      </w:pPr>
      <w:r>
        <w:rPr>
          <w:rFonts w:eastAsia="inter" w:cs="inter" w:ascii="inter" w:hAnsi="inter"/>
          <w:color w:val="000000"/>
          <w:sz w:val="21"/>
        </w:rPr>
        <w:t xml:space="preserve">Personal data disclosure through programmable privacy features of Midnight Network technology</w:t>
      </w:r>
    </w:p>
    <w:p>
      <w:pPr>
        <w:numPr>
          <w:ilvl w:val="0"/>
          <w:numId w:val="15"/>
        </w:numPr>
        <w:spacing w:line="360" w:before="105" w:after="105" w:lineRule="auto"/>
      </w:pPr>
      <w:r>
        <w:rPr>
          <w:rFonts w:eastAsia="inter" w:cs="inter" w:ascii="inter" w:hAnsi="inter"/>
          <w:color w:val="000000"/>
          <w:sz w:val="21"/>
        </w:rPr>
        <w:t xml:space="preserve">Identity verification levels ranging from fully anonymous to completely verified based on context and choice</w:t>
      </w:r>
    </w:p>
    <w:p>
      <w:pPr>
        <w:numPr>
          <w:ilvl w:val="0"/>
          <w:numId w:val="15"/>
        </w:numPr>
        <w:spacing w:line="360" w:before="105" w:after="105" w:lineRule="auto"/>
      </w:pPr>
      <w:r>
        <w:rPr>
          <w:rFonts w:eastAsia="inter" w:cs="inter" w:ascii="inter" w:hAnsi="inter"/>
          <w:color w:val="000000"/>
          <w:sz w:val="21"/>
        </w:rPr>
        <w:t xml:space="preserve">Communication channels including encrypted messaging, public forums, and private consultation with elected representatives</w:t>
      </w:r>
    </w:p>
    <w:p>
      <w:pPr>
        <w:numPr>
          <w:ilvl w:val="0"/>
          <w:numId w:val="15"/>
        </w:numPr>
        <w:spacing w:line="360" w:before="105" w:after="105" w:lineRule="auto"/>
      </w:pPr>
      <w:r>
        <w:rPr>
          <w:rFonts w:eastAsia="inter" w:cs="inter" w:ascii="inter" w:hAnsi="inter"/>
          <w:color w:val="000000"/>
          <w:sz w:val="21"/>
        </w:rPr>
        <w:t xml:space="preserve">Information sharing with external parties, governments, or organizations according to member-determined consent protocols</w:t>
      </w:r>
    </w:p>
    <w:p>
      <w:pPr>
        <w:numPr>
          <w:ilvl w:val="0"/>
          <w:numId w:val="15"/>
        </w:numPr>
        <w:spacing w:line="360" w:before="105" w:after="105" w:lineRule="auto"/>
      </w:pPr>
      <w:r>
        <w:rPr>
          <w:rFonts w:eastAsia="inter" w:cs="inter" w:ascii="inter" w:hAnsi="inter"/>
          <w:b/>
          <w:color w:val="000000"/>
          <w:sz w:val="21"/>
        </w:rPr>
        <w:t xml:space="preserve">Asset portfolio privacy</w:t>
      </w:r>
      <w:r>
        <w:rPr>
          <w:rFonts w:eastAsia="inter" w:cs="inter" w:ascii="inter" w:hAnsi="inter"/>
          <w:color w:val="000000"/>
          <w:sz w:val="21"/>
        </w:rPr>
        <w:t xml:space="preserve"> with selective disclosure capabilities for regulatory compliance without comprehensive exposure</w:t>
      </w:r>
    </w:p>
    <w:p>
      <w:pPr>
        <w:spacing w:line="360" w:before="315" w:after="105" w:lineRule="auto"/>
        <w:ind w:left="-30"/>
        <w:jc w:val="left"/>
      </w:pPr>
      <w:r>
        <w:rPr>
          <w:rFonts w:eastAsia="inter" w:cs="inter" w:ascii="inter" w:hAnsi="inter"/>
          <w:b/>
          <w:color w:val="000000"/>
          <w:sz w:val="24"/>
        </w:rPr>
        <w:t xml:space="preserve">Section 4.3 Press and Documentation Freedom</w:t>
      </w:r>
    </w:p>
    <w:p>
      <w:pPr>
        <w:spacing w:line="360" w:after="210" w:lineRule="auto"/>
      </w:pPr>
      <w:r>
        <w:rPr>
          <w:rFonts w:eastAsia="inter" w:cs="inter" w:ascii="inter" w:hAnsi="inter"/>
          <w:color w:val="000000"/>
        </w:rPr>
        <w:t xml:space="preserve">C3s must guarantee:</w:t>
      </w:r>
    </w:p>
    <w:p>
      <w:pPr>
        <w:numPr>
          <w:ilvl w:val="0"/>
          <w:numId w:val="16"/>
        </w:numPr>
        <w:spacing w:line="360" w:before="105" w:after="105" w:lineRule="auto"/>
      </w:pPr>
      <w:r>
        <w:rPr>
          <w:rFonts w:eastAsia="inter" w:cs="inter" w:ascii="inter" w:hAnsi="inter"/>
          <w:color w:val="000000"/>
          <w:sz w:val="21"/>
        </w:rPr>
        <w:t xml:space="preserve">Independent media operated by members without interference from factions or governance structures</w:t>
      </w:r>
    </w:p>
    <w:p>
      <w:pPr>
        <w:numPr>
          <w:ilvl w:val="0"/>
          <w:numId w:val="16"/>
        </w:numPr>
        <w:spacing w:line="360" w:before="105" w:after="105" w:lineRule="auto"/>
      </w:pPr>
      <w:r>
        <w:rPr>
          <w:rFonts w:eastAsia="inter" w:cs="inter" w:ascii="inter" w:hAnsi="inter"/>
          <w:color w:val="000000"/>
          <w:sz w:val="21"/>
        </w:rPr>
        <w:t xml:space="preserve">Whistleblower protection for members reporting fraud, constitutional violations, or abuse of power</w:t>
      </w:r>
    </w:p>
    <w:p>
      <w:pPr>
        <w:numPr>
          <w:ilvl w:val="0"/>
          <w:numId w:val="16"/>
        </w:numPr>
        <w:spacing w:line="360" w:before="105" w:after="105" w:lineRule="auto"/>
      </w:pPr>
      <w:r>
        <w:rPr>
          <w:rFonts w:eastAsia="inter" w:cs="inter" w:ascii="inter" w:hAnsi="inter"/>
          <w:color w:val="000000"/>
          <w:sz w:val="21"/>
        </w:rPr>
        <w:t xml:space="preserve">Historical preservation of all governance proceedings, constitutional amendments, and significant community decisions</w:t>
      </w:r>
    </w:p>
    <w:p>
      <w:pPr>
        <w:numPr>
          <w:ilvl w:val="0"/>
          <w:numId w:val="16"/>
        </w:numPr>
        <w:spacing w:line="360" w:before="105" w:after="105" w:lineRule="auto"/>
      </w:pPr>
      <w:r>
        <w:rPr>
          <w:rFonts w:eastAsia="inter" w:cs="inter" w:ascii="inter" w:hAnsi="inter"/>
          <w:color w:val="000000"/>
          <w:sz w:val="21"/>
        </w:rPr>
        <w:t xml:space="preserve">Multi-language accessibility ensuring language barriers do not impede participation or understanding</w:t>
      </w:r>
    </w:p>
    <w:p>
      <w:pPr>
        <w:numPr>
          <w:ilvl w:val="0"/>
          <w:numId w:val="16"/>
        </w:numPr>
        <w:spacing w:line="360" w:before="105" w:after="105" w:lineRule="auto"/>
      </w:pPr>
      <w:r>
        <w:rPr>
          <w:rFonts w:eastAsia="inter" w:cs="inter" w:ascii="inter" w:hAnsi="inter"/>
          <w:b/>
          <w:color w:val="000000"/>
          <w:sz w:val="21"/>
        </w:rPr>
        <w:t xml:space="preserve">Transparent ISPO project documentation</w:t>
      </w:r>
      <w:r>
        <w:rPr>
          <w:rFonts w:eastAsia="inter" w:cs="inter" w:ascii="inter" w:hAnsi="inter"/>
          <w:color w:val="000000"/>
          <w:sz w:val="21"/>
        </w:rPr>
        <w:t xml:space="preserve"> and performance reporting for community evaluation</w:t>
      </w:r>
    </w:p>
    <w:p>
      <w:pPr>
        <w:spacing w:line="360" w:before="315" w:after="105" w:lineRule="auto"/>
        <w:ind w:left="-30"/>
        <w:jc w:val="left"/>
      </w:pPr>
      <w:r>
        <w:rPr>
          <w:rFonts w:eastAsia="inter" w:cs="inter" w:ascii="inter" w:hAnsi="inter"/>
          <w:b/>
          <w:color w:val="000000"/>
          <w:sz w:val="24"/>
        </w:rPr>
        <w:t xml:space="preserve">Section 4.4 Intellectual Property Balance</w:t>
      </w:r>
    </w:p>
    <w:p>
      <w:pPr>
        <w:spacing w:line="360" w:after="210" w:lineRule="auto"/>
      </w:pPr>
      <w:r>
        <w:rPr>
          <w:rFonts w:eastAsia="inter" w:cs="inter" w:ascii="inter" w:hAnsi="inter"/>
          <w:color w:val="000000"/>
        </w:rPr>
        <w:t xml:space="preserve">Expression rights include:</w:t>
      </w:r>
    </w:p>
    <w:p>
      <w:pPr>
        <w:numPr>
          <w:ilvl w:val="0"/>
          <w:numId w:val="17"/>
        </w:numPr>
        <w:spacing w:line="360" w:before="105" w:after="105" w:lineRule="auto"/>
      </w:pPr>
      <w:r>
        <w:rPr>
          <w:rFonts w:eastAsia="inter" w:cs="inter" w:ascii="inter" w:hAnsi="inter"/>
          <w:color w:val="000000"/>
          <w:sz w:val="21"/>
        </w:rPr>
        <w:t xml:space="preserve">Open source defaults for all C3 infrastructure, governance tools, and community-developed software</w:t>
      </w:r>
    </w:p>
    <w:p>
      <w:pPr>
        <w:numPr>
          <w:ilvl w:val="0"/>
          <w:numId w:val="17"/>
        </w:numPr>
        <w:spacing w:line="360" w:before="105" w:after="105" w:lineRule="auto"/>
      </w:pPr>
      <w:r>
        <w:rPr>
          <w:rFonts w:eastAsia="inter" w:cs="inter" w:ascii="inter" w:hAnsi="inter"/>
          <w:color w:val="000000"/>
          <w:sz w:val="21"/>
        </w:rPr>
        <w:t xml:space="preserve">Member ownership of creative works, innovations, and improvements developed within the C3 ecosystem</w:t>
      </w:r>
    </w:p>
    <w:p>
      <w:pPr>
        <w:numPr>
          <w:ilvl w:val="0"/>
          <w:numId w:val="17"/>
        </w:numPr>
        <w:spacing w:line="360" w:before="105" w:after="105" w:lineRule="auto"/>
      </w:pPr>
      <w:r>
        <w:rPr>
          <w:rFonts w:eastAsia="inter" w:cs="inter" w:ascii="inter" w:hAnsi="inter"/>
          <w:color w:val="000000"/>
          <w:sz w:val="21"/>
        </w:rPr>
        <w:t xml:space="preserve">Fair use protections allowing criticism, commentary, and transformation of C3-related materials</w:t>
      </w:r>
    </w:p>
    <w:p>
      <w:pPr>
        <w:numPr>
          <w:ilvl w:val="0"/>
          <w:numId w:val="17"/>
        </w:numPr>
        <w:spacing w:line="360" w:before="105" w:after="105" w:lineRule="auto"/>
      </w:pPr>
      <w:r>
        <w:rPr>
          <w:rFonts w:eastAsia="inter" w:cs="inter" w:ascii="inter" w:hAnsi="inter"/>
          <w:color w:val="000000"/>
          <w:sz w:val="21"/>
        </w:rPr>
        <w:t xml:space="preserve">Attribution requirements ensuring proper credit for contributions while preventing proprietary capture of community innovations</w:t>
      </w:r>
    </w:p>
    <w:p>
      <w:pPr>
        <w:numPr>
          <w:ilvl w:val="0"/>
          <w:numId w:val="17"/>
        </w:numPr>
        <w:spacing w:line="360" w:before="105" w:after="105" w:lineRule="auto"/>
      </w:pPr>
      <w:r>
        <w:rPr>
          <w:rFonts w:eastAsia="inter" w:cs="inter" w:ascii="inter" w:hAnsi="inter"/>
          <w:b/>
          <w:color w:val="000000"/>
          <w:sz w:val="21"/>
        </w:rPr>
        <w:t xml:space="preserve">NFT creator rights</w:t>
      </w:r>
      <w:r>
        <w:rPr>
          <w:rFonts w:eastAsia="inter" w:cs="inter" w:ascii="inter" w:hAnsi="inter"/>
          <w:color w:val="000000"/>
          <w:sz w:val="21"/>
        </w:rPr>
        <w:t xml:space="preserve"> protection and fair compensation mechanisms</w:t>
      </w:r>
    </w:p>
    <w:p>
      <w:pPr>
        <w:spacing w:line="360" w:before="315" w:after="105" w:lineRule="auto"/>
        <w:ind w:left="-30"/>
        <w:jc w:val="left"/>
      </w:pPr>
      <w:r>
        <w:rPr>
          <w:rFonts w:eastAsia="inter" w:cs="inter" w:ascii="inter" w:hAnsi="inter"/>
          <w:b/>
          <w:color w:val="000000"/>
          <w:sz w:val="24"/>
        </w:rPr>
        <w:t xml:space="preserve">Article V: Privacy and Multi-Asset Protection</w:t>
      </w:r>
    </w:p>
    <w:p>
      <w:pPr>
        <w:spacing w:line="360" w:before="315" w:after="105" w:lineRule="auto"/>
        <w:ind w:left="-30"/>
        <w:jc w:val="left"/>
      </w:pPr>
      <w:r>
        <w:rPr>
          <w:rFonts w:eastAsia="inter" w:cs="inter" w:ascii="inter" w:hAnsi="inter"/>
          <w:b/>
          <w:color w:val="000000"/>
          <w:sz w:val="24"/>
        </w:rPr>
        <w:t xml:space="preserve">Section 5.1 Enhanced Fourth Amendment Protections</w:t>
      </w:r>
    </w:p>
    <w:p>
      <w:pPr>
        <w:spacing w:line="360" w:after="210" w:lineRule="auto"/>
      </w:pPr>
      <w:r>
        <w:rPr>
          <w:rFonts w:eastAsia="inter" w:cs="inter" w:ascii="inter" w:hAnsi="inter"/>
          <w:color w:val="000000"/>
        </w:rPr>
        <w:t xml:space="preserve">Recognizing that blockchain technology challenges traditional privacy expectations, C3s guarantee:</w:t>
      </w:r>
    </w:p>
    <w:p>
      <w:pPr>
        <w:numPr>
          <w:ilvl w:val="0"/>
          <w:numId w:val="18"/>
        </w:numPr>
        <w:spacing w:line="360" w:before="105" w:after="105" w:lineRule="auto"/>
      </w:pPr>
      <w:r>
        <w:rPr>
          <w:rFonts w:eastAsia="inter" w:cs="inter" w:ascii="inter" w:hAnsi="inter"/>
          <w:color w:val="000000"/>
          <w:sz w:val="21"/>
        </w:rPr>
        <w:t xml:space="preserve">Reasonable expectation of privacy in personal vaults, private keys, and non-public communications </w:t>
      </w:r>
      <w:r>
        <w:rPr>
          <w:rFonts w:eastAsia="inter" w:cs="inter" w:ascii="inter" w:hAnsi="inter"/>
          <w:b/>
          <w:color w:val="000000"/>
          <w:sz w:val="21"/>
        </w:rPr>
        <w:t xml:space="preserve">across all supported asset types</w:t>
      </w:r>
    </w:p>
    <w:p>
      <w:pPr>
        <w:numPr>
          <w:ilvl w:val="0"/>
          <w:numId w:val="18"/>
        </w:numPr>
        <w:spacing w:line="360" w:before="105" w:after="105" w:lineRule="auto"/>
      </w:pPr>
      <w:r>
        <w:rPr>
          <w:rFonts w:eastAsia="inter" w:cs="inter" w:ascii="inter" w:hAnsi="inter"/>
          <w:color w:val="000000"/>
          <w:sz w:val="21"/>
        </w:rPr>
        <w:t xml:space="preserve">Protection from unreasonable searches of personal data, transaction histories, and private association records</w:t>
      </w:r>
    </w:p>
    <w:p>
      <w:pPr>
        <w:numPr>
          <w:ilvl w:val="0"/>
          <w:numId w:val="18"/>
        </w:numPr>
        <w:spacing w:line="360" w:before="105" w:after="105" w:lineRule="auto"/>
      </w:pPr>
      <w:r>
        <w:rPr>
          <w:rFonts w:eastAsia="inter" w:cs="inter" w:ascii="inter" w:hAnsi="inter"/>
          <w:color w:val="000000"/>
          <w:sz w:val="21"/>
        </w:rPr>
        <w:t xml:space="preserve">Warrant requirements for any governance investigation into individual member activities beyond public blockchain records</w:t>
      </w:r>
    </w:p>
    <w:p>
      <w:pPr>
        <w:numPr>
          <w:ilvl w:val="0"/>
          <w:numId w:val="18"/>
        </w:numPr>
        <w:spacing w:line="360" w:before="105" w:after="105" w:lineRule="auto"/>
      </w:pPr>
      <w:r>
        <w:rPr>
          <w:rFonts w:eastAsia="inter" w:cs="inter" w:ascii="inter" w:hAnsi="inter"/>
          <w:color w:val="000000"/>
          <w:sz w:val="21"/>
        </w:rPr>
        <w:t xml:space="preserve">Data minimization principles ensuring only necessary information is collected, stored, or analyzed for community operations</w:t>
      </w:r>
    </w:p>
    <w:p>
      <w:pPr>
        <w:numPr>
          <w:ilvl w:val="0"/>
          <w:numId w:val="18"/>
        </w:numPr>
        <w:spacing w:line="360" w:before="105" w:after="105" w:lineRule="auto"/>
      </w:pPr>
      <w:r>
        <w:rPr>
          <w:rFonts w:eastAsia="inter" w:cs="inter" w:ascii="inter" w:hAnsi="inter"/>
          <w:b/>
          <w:color w:val="000000"/>
          <w:sz w:val="21"/>
        </w:rPr>
        <w:t xml:space="preserve">Multi-asset privacy protection</w:t>
      </w:r>
      <w:r>
        <w:rPr>
          <w:rFonts w:eastAsia="inter" w:cs="inter" w:ascii="inter" w:hAnsi="inter"/>
          <w:color w:val="000000"/>
          <w:sz w:val="21"/>
        </w:rPr>
        <w:t xml:space="preserve"> preventing forced disclosure of complete portfolio compositions</w:t>
      </w:r>
    </w:p>
    <w:p>
      <w:pPr>
        <w:spacing w:line="360" w:before="315" w:after="105" w:lineRule="auto"/>
        <w:ind w:left="-30"/>
        <w:jc w:val="left"/>
      </w:pPr>
      <w:r>
        <w:rPr>
          <w:rFonts w:eastAsia="inter" w:cs="inter" w:ascii="inter" w:hAnsi="inter"/>
          <w:b/>
          <w:color w:val="000000"/>
          <w:sz w:val="24"/>
        </w:rPr>
        <w:t xml:space="preserve">Section 5.2 Selective Disclosure Rights</w:t>
      </w:r>
    </w:p>
    <w:p>
      <w:pPr>
        <w:spacing w:line="360" w:after="210" w:lineRule="auto"/>
      </w:pPr>
      <w:r>
        <w:rPr>
          <w:rFonts w:eastAsia="inter" w:cs="inter" w:ascii="inter" w:hAnsi="inter"/>
          <w:color w:val="000000"/>
        </w:rPr>
        <w:t xml:space="preserve">Through Midnight Network privacy technology, members control:</w:t>
      </w:r>
    </w:p>
    <w:p>
      <w:pPr>
        <w:numPr>
          <w:ilvl w:val="0"/>
          <w:numId w:val="19"/>
        </w:numPr>
        <w:spacing w:line="360" w:before="105" w:after="105" w:lineRule="auto"/>
      </w:pPr>
      <w:r>
        <w:rPr>
          <w:rFonts w:eastAsia="inter" w:cs="inter" w:ascii="inter" w:hAnsi="inter"/>
          <w:color w:val="000000"/>
          <w:sz w:val="21"/>
        </w:rPr>
        <w:t xml:space="preserve">Granular privacy settings determining what information is visible to whom and under what circumstances</w:t>
      </w:r>
    </w:p>
    <w:p>
      <w:pPr>
        <w:numPr>
          <w:ilvl w:val="0"/>
          <w:numId w:val="19"/>
        </w:numPr>
        <w:spacing w:line="360" w:before="105" w:after="105" w:lineRule="auto"/>
      </w:pPr>
      <w:r>
        <w:rPr>
          <w:rFonts w:eastAsia="inter" w:cs="inter" w:ascii="inter" w:hAnsi="inter"/>
          <w:color w:val="000000"/>
          <w:sz w:val="21"/>
        </w:rPr>
        <w:t xml:space="preserve">Compliance-compatible privacy allowing regulatory requirements to be met without full identity exposure</w:t>
      </w:r>
    </w:p>
    <w:p>
      <w:pPr>
        <w:numPr>
          <w:ilvl w:val="0"/>
          <w:numId w:val="19"/>
        </w:numPr>
        <w:spacing w:line="360" w:before="105" w:after="105" w:lineRule="auto"/>
      </w:pPr>
      <w:r>
        <w:rPr>
          <w:rFonts w:eastAsia="inter" w:cs="inter" w:ascii="inter" w:hAnsi="inter"/>
          <w:color w:val="000000"/>
          <w:sz w:val="21"/>
        </w:rPr>
        <w:t xml:space="preserve">Contextual identity enabling different levels of pseudonymity for different community interactions</w:t>
      </w:r>
    </w:p>
    <w:p>
      <w:pPr>
        <w:numPr>
          <w:ilvl w:val="0"/>
          <w:numId w:val="19"/>
        </w:numPr>
        <w:spacing w:line="360" w:before="105" w:after="105" w:lineRule="auto"/>
      </w:pPr>
      <w:r>
        <w:rPr>
          <w:rFonts w:eastAsia="inter" w:cs="inter" w:ascii="inter" w:hAnsi="inter"/>
          <w:color w:val="000000"/>
          <w:sz w:val="21"/>
        </w:rPr>
        <w:t xml:space="preserve">Right to be forgotten through cryptographic mechanisms that allow information to become inaccessible over time</w:t>
      </w:r>
    </w:p>
    <w:p>
      <w:pPr>
        <w:numPr>
          <w:ilvl w:val="0"/>
          <w:numId w:val="19"/>
        </w:numPr>
        <w:spacing w:line="360" w:before="105" w:after="105" w:lineRule="auto"/>
      </w:pPr>
      <w:r>
        <w:rPr>
          <w:rFonts w:eastAsia="inter" w:cs="inter" w:ascii="inter" w:hAnsi="inter"/>
          <w:b/>
          <w:color w:val="000000"/>
          <w:sz w:val="21"/>
        </w:rPr>
        <w:t xml:space="preserve">Asset-specific privacy controls</w:t>
      </w:r>
      <w:r>
        <w:rPr>
          <w:rFonts w:eastAsia="inter" w:cs="inter" w:ascii="inter" w:hAnsi="inter"/>
          <w:color w:val="000000"/>
          <w:sz w:val="21"/>
        </w:rPr>
        <w:t xml:space="preserve"> enabling selective disclosure of vault contents based on regulatory or personal requirements</w:t>
      </w:r>
    </w:p>
    <w:p>
      <w:pPr>
        <w:spacing w:line="360" w:before="315" w:after="105" w:lineRule="auto"/>
        <w:ind w:left="-30"/>
        <w:jc w:val="left"/>
      </w:pPr>
      <w:r>
        <w:rPr>
          <w:rFonts w:eastAsia="inter" w:cs="inter" w:ascii="inter" w:hAnsi="inter"/>
          <w:b/>
          <w:color w:val="000000"/>
          <w:sz w:val="24"/>
        </w:rPr>
        <w:t xml:space="preserve">Section 5.3 Multi-Blockchain Privacy Guarantees</w:t>
      </w:r>
    </w:p>
    <w:p>
      <w:pPr>
        <w:spacing w:line="360" w:after="210" w:lineRule="auto"/>
      </w:pPr>
      <w:r>
        <w:rPr>
          <w:rFonts w:eastAsia="inter" w:cs="inter" w:ascii="inter" w:hAnsi="inter"/>
          <w:color w:val="000000"/>
        </w:rPr>
        <w:t xml:space="preserve">Members possess rights to:</w:t>
      </w:r>
    </w:p>
    <w:p>
      <w:pPr>
        <w:numPr>
          <w:ilvl w:val="0"/>
          <w:numId w:val="20"/>
        </w:numPr>
        <w:spacing w:line="360" w:before="105" w:after="105" w:lineRule="auto"/>
      </w:pPr>
      <w:r>
        <w:rPr>
          <w:rFonts w:eastAsia="inter" w:cs="inter" w:ascii="inter" w:hAnsi="inter"/>
          <w:b/>
          <w:color w:val="000000"/>
          <w:sz w:val="21"/>
        </w:rPr>
        <w:t xml:space="preserve">Cross-chain privacy preservation</w:t>
      </w:r>
      <w:r>
        <w:rPr>
          <w:rFonts w:eastAsia="inter" w:cs="inter" w:ascii="inter" w:hAnsi="inter"/>
          <w:color w:val="000000"/>
          <w:sz w:val="21"/>
        </w:rPr>
        <w:t xml:space="preserve"> when operating across multiple blockchain ecosystems</w:t>
      </w:r>
    </w:p>
    <w:p>
      <w:pPr>
        <w:numPr>
          <w:ilvl w:val="0"/>
          <w:numId w:val="20"/>
        </w:numPr>
        <w:spacing w:line="360" w:before="105" w:after="105" w:lineRule="auto"/>
      </w:pPr>
      <w:r>
        <w:rPr>
          <w:rFonts w:eastAsia="inter" w:cs="inter" w:ascii="inter" w:hAnsi="inter"/>
          <w:b/>
          <w:color w:val="000000"/>
          <w:sz w:val="21"/>
        </w:rPr>
        <w:t xml:space="preserve">Asset-agnostic privacy protection</w:t>
      </w:r>
      <w:r>
        <w:rPr>
          <w:rFonts w:eastAsia="inter" w:cs="inter" w:ascii="inter" w:hAnsi="inter"/>
          <w:color w:val="000000"/>
          <w:sz w:val="21"/>
        </w:rPr>
        <w:t xml:space="preserve"> regardless of chosen vault funding methods</w:t>
      </w:r>
    </w:p>
    <w:p>
      <w:pPr>
        <w:numPr>
          <w:ilvl w:val="0"/>
          <w:numId w:val="20"/>
        </w:numPr>
        <w:spacing w:line="360" w:before="105" w:after="105" w:lineRule="auto"/>
      </w:pPr>
      <w:r>
        <w:rPr>
          <w:rFonts w:eastAsia="inter" w:cs="inter" w:ascii="inter" w:hAnsi="inter"/>
          <w:b/>
          <w:color w:val="000000"/>
          <w:sz w:val="21"/>
        </w:rPr>
        <w:t xml:space="preserve">NFT privacy rights</w:t>
      </w:r>
      <w:r>
        <w:rPr>
          <w:rFonts w:eastAsia="inter" w:cs="inter" w:ascii="inter" w:hAnsi="inter"/>
          <w:color w:val="000000"/>
          <w:sz w:val="21"/>
        </w:rPr>
        <w:t xml:space="preserve"> for ownership and transaction history of non-fungible assets</w:t>
      </w:r>
    </w:p>
    <w:p>
      <w:pPr>
        <w:numPr>
          <w:ilvl w:val="0"/>
          <w:numId w:val="20"/>
        </w:numPr>
        <w:spacing w:line="360" w:before="105" w:after="105" w:lineRule="auto"/>
      </w:pPr>
      <w:r>
        <w:rPr>
          <w:rFonts w:eastAsia="inter" w:cs="inter" w:ascii="inter" w:hAnsi="inter"/>
          <w:b/>
          <w:color w:val="000000"/>
          <w:sz w:val="21"/>
        </w:rPr>
        <w:t xml:space="preserve">ISPO participation privacy</w:t>
      </w:r>
      <w:r>
        <w:rPr>
          <w:rFonts w:eastAsia="inter" w:cs="inter" w:ascii="inter" w:hAnsi="inter"/>
          <w:color w:val="000000"/>
          <w:sz w:val="21"/>
        </w:rPr>
        <w:t xml:space="preserve"> with selective disclosure of project involvement</w:t>
      </w:r>
    </w:p>
    <w:p>
      <w:pPr>
        <w:spacing w:line="360" w:before="315" w:after="105" w:lineRule="auto"/>
        <w:ind w:left="-30"/>
        <w:jc w:val="left"/>
      </w:pPr>
      <w:r>
        <w:rPr>
          <w:rFonts w:eastAsia="inter" w:cs="inter" w:ascii="inter" w:hAnsi="inter"/>
          <w:b/>
          <w:color w:val="000000"/>
          <w:sz w:val="24"/>
        </w:rPr>
        <w:t xml:space="preserve">Article VI: Due Process and Justice</w:t>
      </w:r>
    </w:p>
    <w:p>
      <w:pPr>
        <w:spacing w:line="360" w:before="315" w:after="105" w:lineRule="auto"/>
        <w:ind w:left="-30"/>
        <w:jc w:val="left"/>
      </w:pPr>
      <w:r>
        <w:rPr>
          <w:rFonts w:eastAsia="inter" w:cs="inter" w:ascii="inter" w:hAnsi="inter"/>
          <w:b/>
          <w:color w:val="000000"/>
          <w:sz w:val="24"/>
        </w:rPr>
        <w:t xml:space="preserve">Section 6.1 Procedural Protections</w:t>
      </w:r>
    </w:p>
    <w:p>
      <w:pPr>
        <w:spacing w:line="360" w:after="210" w:lineRule="auto"/>
      </w:pPr>
      <w:r>
        <w:rPr>
          <w:rFonts w:eastAsia="inter" w:cs="inter" w:ascii="inter" w:hAnsi="inter"/>
          <w:color w:val="000000"/>
        </w:rPr>
        <w:t xml:space="preserve">All members are guaranteed:</w:t>
      </w:r>
    </w:p>
    <w:p>
      <w:pPr>
        <w:numPr>
          <w:ilvl w:val="0"/>
          <w:numId w:val="21"/>
        </w:numPr>
        <w:spacing w:line="360" w:before="105" w:after="105" w:lineRule="auto"/>
      </w:pPr>
      <w:r>
        <w:rPr>
          <w:rFonts w:eastAsia="inter" w:cs="inter" w:ascii="inter" w:hAnsi="inter"/>
          <w:color w:val="000000"/>
          <w:sz w:val="21"/>
        </w:rPr>
        <w:t xml:space="preserve">Due process before any sanctions, expulsions, or restrictions on rights through established Judicial Loop procedures</w:t>
      </w:r>
    </w:p>
    <w:p>
      <w:pPr>
        <w:numPr>
          <w:ilvl w:val="0"/>
          <w:numId w:val="21"/>
        </w:numPr>
        <w:spacing w:line="360" w:before="105" w:after="105" w:lineRule="auto"/>
      </w:pPr>
      <w:r>
        <w:rPr>
          <w:rFonts w:eastAsia="inter" w:cs="inter" w:ascii="inter" w:hAnsi="inter"/>
          <w:color w:val="000000"/>
          <w:sz w:val="21"/>
        </w:rPr>
        <w:t xml:space="preserve">Right to counsel including assistance from other members or external advocates during governance proceedings</w:t>
      </w:r>
    </w:p>
    <w:p>
      <w:pPr>
        <w:numPr>
          <w:ilvl w:val="0"/>
          <w:numId w:val="21"/>
        </w:numPr>
        <w:spacing w:line="360" w:before="105" w:after="105" w:lineRule="auto"/>
      </w:pPr>
      <w:r>
        <w:rPr>
          <w:rFonts w:eastAsia="inter" w:cs="inter" w:ascii="inter" w:hAnsi="inter"/>
          <w:color w:val="000000"/>
          <w:sz w:val="21"/>
        </w:rPr>
        <w:t xml:space="preserve">Presumption of innocence in all disputes with burden of proof on accusers rather than accused members</w:t>
      </w:r>
    </w:p>
    <w:p>
      <w:pPr>
        <w:numPr>
          <w:ilvl w:val="0"/>
          <w:numId w:val="21"/>
        </w:numPr>
        <w:spacing w:line="360" w:before="105" w:after="105" w:lineRule="auto"/>
      </w:pPr>
      <w:r>
        <w:rPr>
          <w:rFonts w:eastAsia="inter" w:cs="inter" w:ascii="inter" w:hAnsi="inter"/>
          <w:color w:val="000000"/>
          <w:sz w:val="21"/>
        </w:rPr>
        <w:t xml:space="preserve">Appeal mechanisms to higher Alliance-level governance for C3-level decisions affecting fundamental rights</w:t>
      </w:r>
    </w:p>
    <w:p>
      <w:pPr>
        <w:numPr>
          <w:ilvl w:val="0"/>
          <w:numId w:val="21"/>
        </w:numPr>
        <w:spacing w:line="360" w:before="105" w:after="105" w:lineRule="auto"/>
      </w:pPr>
      <w:r>
        <w:rPr>
          <w:rFonts w:eastAsia="inter" w:cs="inter" w:ascii="inter" w:hAnsi="inter"/>
          <w:b/>
          <w:color w:val="000000"/>
          <w:sz w:val="21"/>
        </w:rPr>
        <w:t xml:space="preserve">Fair asset valuation procedures</w:t>
      </w:r>
      <w:r>
        <w:rPr>
          <w:rFonts w:eastAsia="inter" w:cs="inter" w:ascii="inter" w:hAnsi="inter"/>
          <w:color w:val="000000"/>
          <w:sz w:val="21"/>
        </w:rPr>
        <w:t xml:space="preserve"> in cases of dispute resolution or member departure</w:t>
      </w:r>
    </w:p>
    <w:p>
      <w:pPr>
        <w:spacing w:line="360" w:before="315" w:after="105" w:lineRule="auto"/>
        <w:ind w:left="-30"/>
        <w:jc w:val="left"/>
      </w:pPr>
      <w:r>
        <w:rPr>
          <w:rFonts w:eastAsia="inter" w:cs="inter" w:ascii="inter" w:hAnsi="inter"/>
          <w:b/>
          <w:color w:val="000000"/>
          <w:sz w:val="24"/>
        </w:rPr>
        <w:t xml:space="preserve">Section 6.2 Equal Protection</w:t>
      </w:r>
    </w:p>
    <w:p>
      <w:pPr>
        <w:spacing w:line="360" w:after="210" w:lineRule="auto"/>
      </w:pPr>
      <w:r>
        <w:rPr>
          <w:rFonts w:eastAsia="inter" w:cs="inter" w:ascii="inter" w:hAnsi="inter"/>
          <w:color w:val="000000"/>
        </w:rPr>
        <w:t xml:space="preserve">C3s must provide:</w:t>
      </w:r>
    </w:p>
    <w:p>
      <w:pPr>
        <w:numPr>
          <w:ilvl w:val="0"/>
          <w:numId w:val="22"/>
        </w:numPr>
        <w:spacing w:line="360" w:before="105" w:after="105" w:lineRule="auto"/>
      </w:pPr>
      <w:r>
        <w:rPr>
          <w:rFonts w:eastAsia="inter" w:cs="inter" w:ascii="inter" w:hAnsi="inter"/>
          <w:color w:val="000000"/>
          <w:sz w:val="21"/>
        </w:rPr>
        <w:t xml:space="preserve">Non-discrimination in all governance, economic, and social activities regardless of race, religion, gender, sexual orientation, disability, economic status, or </w:t>
      </w:r>
      <w:r>
        <w:rPr>
          <w:rFonts w:eastAsia="inter" w:cs="inter" w:ascii="inter" w:hAnsi="inter"/>
          <w:b/>
          <w:color w:val="000000"/>
          <w:sz w:val="21"/>
        </w:rPr>
        <w:t xml:space="preserve">chosen asset types</w:t>
      </w:r>
    </w:p>
    <w:p>
      <w:pPr>
        <w:numPr>
          <w:ilvl w:val="0"/>
          <w:numId w:val="22"/>
        </w:numPr>
        <w:spacing w:line="360" w:before="105" w:after="105" w:lineRule="auto"/>
      </w:pPr>
      <w:r>
        <w:rPr>
          <w:rFonts w:eastAsia="inter" w:cs="inter" w:ascii="inter" w:hAnsi="inter"/>
          <w:color w:val="000000"/>
          <w:sz w:val="21"/>
        </w:rPr>
        <w:t xml:space="preserve">Equal access to all services, opportunities, and governance positions based solely on merit and member choice</w:t>
      </w:r>
    </w:p>
    <w:p>
      <w:pPr>
        <w:numPr>
          <w:ilvl w:val="0"/>
          <w:numId w:val="22"/>
        </w:numPr>
        <w:spacing w:line="360" w:before="105" w:after="105" w:lineRule="auto"/>
      </w:pPr>
      <w:r>
        <w:rPr>
          <w:rFonts w:eastAsia="inter" w:cs="inter" w:ascii="inter" w:hAnsi="inter"/>
          <w:color w:val="000000"/>
          <w:sz w:val="21"/>
        </w:rPr>
        <w:t xml:space="preserve">Accommodation requirements ensuring members with disabilities can fully participate in all C3 activities</w:t>
      </w:r>
    </w:p>
    <w:p>
      <w:pPr>
        <w:numPr>
          <w:ilvl w:val="0"/>
          <w:numId w:val="22"/>
        </w:numPr>
        <w:spacing w:line="360" w:before="105" w:after="105" w:lineRule="auto"/>
      </w:pPr>
      <w:r>
        <w:rPr>
          <w:rFonts w:eastAsia="inter" w:cs="inter" w:ascii="inter" w:hAnsi="inter"/>
          <w:color w:val="000000"/>
          <w:sz w:val="21"/>
        </w:rPr>
        <w:t xml:space="preserve">Language accessibility providing translation services for members whose primary language differs from C3 defaults</w:t>
      </w:r>
    </w:p>
    <w:p>
      <w:pPr>
        <w:numPr>
          <w:ilvl w:val="0"/>
          <w:numId w:val="22"/>
        </w:numPr>
        <w:spacing w:line="360" w:before="105" w:after="105" w:lineRule="auto"/>
      </w:pPr>
      <w:r>
        <w:rPr>
          <w:rFonts w:eastAsia="inter" w:cs="inter" w:ascii="inter" w:hAnsi="inter"/>
          <w:b/>
          <w:color w:val="000000"/>
          <w:sz w:val="21"/>
        </w:rPr>
        <w:t xml:space="preserve">Asset-neutral governance</w:t>
      </w:r>
      <w:r>
        <w:rPr>
          <w:rFonts w:eastAsia="inter" w:cs="inter" w:ascii="inter" w:hAnsi="inter"/>
          <w:color w:val="000000"/>
          <w:sz w:val="21"/>
        </w:rPr>
        <w:t xml:space="preserve"> ensuring no preference for specific cryptocurrencies or blockchain ecosystems in member treatment</w:t>
      </w:r>
    </w:p>
    <w:p>
      <w:pPr>
        <w:spacing w:line="360" w:before="315" w:after="105" w:lineRule="auto"/>
        <w:ind w:left="-30"/>
        <w:jc w:val="left"/>
      </w:pPr>
      <w:r>
        <w:rPr>
          <w:rFonts w:eastAsia="inter" w:cs="inter" w:ascii="inter" w:hAnsi="inter"/>
          <w:b/>
          <w:color w:val="000000"/>
          <w:sz w:val="24"/>
        </w:rPr>
        <w:t xml:space="preserve">Section 6.3 Multi-Asset Due Process</w:t>
      </w:r>
    </w:p>
    <w:p>
      <w:pPr>
        <w:spacing w:line="360" w:after="210" w:lineRule="auto"/>
      </w:pPr>
      <w:r>
        <w:rPr>
          <w:rFonts w:eastAsia="inter" w:cs="inter" w:ascii="inter" w:hAnsi="inter"/>
          <w:color w:val="000000"/>
        </w:rPr>
        <w:t xml:space="preserve">Specific protections include:</w:t>
      </w:r>
    </w:p>
    <w:p>
      <w:pPr>
        <w:numPr>
          <w:ilvl w:val="0"/>
          <w:numId w:val="23"/>
        </w:numPr>
        <w:spacing w:line="360" w:before="105" w:after="105" w:lineRule="auto"/>
      </w:pPr>
      <w:r>
        <w:rPr>
          <w:rFonts w:eastAsia="inter" w:cs="inter" w:ascii="inter" w:hAnsi="inter"/>
          <w:b/>
          <w:color w:val="000000"/>
          <w:sz w:val="21"/>
        </w:rPr>
        <w:t xml:space="preserve">Democratic asset removal procedures</w:t>
      </w:r>
      <w:r>
        <w:rPr>
          <w:rFonts w:eastAsia="inter" w:cs="inter" w:ascii="inter" w:hAnsi="inter"/>
          <w:color w:val="000000"/>
          <w:sz w:val="21"/>
        </w:rPr>
        <w:t xml:space="preserve"> with due process protections for affected members</w:t>
      </w:r>
    </w:p>
    <w:p>
      <w:pPr>
        <w:numPr>
          <w:ilvl w:val="0"/>
          <w:numId w:val="23"/>
        </w:numPr>
        <w:spacing w:line="360" w:before="105" w:after="105" w:lineRule="auto"/>
      </w:pPr>
      <w:r>
        <w:rPr>
          <w:rFonts w:eastAsia="inter" w:cs="inter" w:ascii="inter" w:hAnsi="inter"/>
          <w:b/>
          <w:color w:val="000000"/>
          <w:sz w:val="21"/>
        </w:rPr>
        <w:t xml:space="preserve">Fair market valuation</w:t>
      </w:r>
      <w:r>
        <w:rPr>
          <w:rFonts w:eastAsia="inter" w:cs="inter" w:ascii="inter" w:hAnsi="inter"/>
          <w:color w:val="000000"/>
          <w:sz w:val="21"/>
        </w:rPr>
        <w:t xml:space="preserve"> processes for asset-related disputes or liquidations</w:t>
      </w:r>
    </w:p>
    <w:p>
      <w:pPr>
        <w:numPr>
          <w:ilvl w:val="0"/>
          <w:numId w:val="23"/>
        </w:numPr>
        <w:spacing w:line="360" w:before="105" w:after="105" w:lineRule="auto"/>
      </w:pPr>
      <w:r>
        <w:rPr>
          <w:rFonts w:eastAsia="inter" w:cs="inter" w:ascii="inter" w:hAnsi="inter"/>
          <w:b/>
          <w:color w:val="000000"/>
          <w:sz w:val="21"/>
        </w:rPr>
        <w:t xml:space="preserve">ISPO project dispute resolution</w:t>
      </w:r>
      <w:r>
        <w:rPr>
          <w:rFonts w:eastAsia="inter" w:cs="inter" w:ascii="inter" w:hAnsi="inter"/>
          <w:color w:val="000000"/>
          <w:sz w:val="21"/>
        </w:rPr>
        <w:t xml:space="preserve"> with transparent and impartial arbitration</w:t>
      </w:r>
    </w:p>
    <w:p>
      <w:pPr>
        <w:numPr>
          <w:ilvl w:val="0"/>
          <w:numId w:val="23"/>
        </w:numPr>
        <w:spacing w:line="360" w:before="105" w:after="105" w:lineRule="auto"/>
      </w:pPr>
      <w:r>
        <w:rPr>
          <w:rFonts w:eastAsia="inter" w:cs="inter" w:ascii="inter" w:hAnsi="inter"/>
          <w:b/>
          <w:color w:val="000000"/>
          <w:sz w:val="21"/>
        </w:rPr>
        <w:t xml:space="preserve">NFT ownership verification</w:t>
      </w:r>
      <w:r>
        <w:rPr>
          <w:rFonts w:eastAsia="inter" w:cs="inter" w:ascii="inter" w:hAnsi="inter"/>
          <w:color w:val="000000"/>
          <w:sz w:val="21"/>
        </w:rPr>
        <w:t xml:space="preserve"> and dispute resolution mechanisms</w:t>
      </w:r>
    </w:p>
    <w:p>
      <w:pPr>
        <w:spacing w:line="360" w:before="315" w:after="105" w:lineRule="auto"/>
        <w:ind w:left="-30"/>
        <w:jc w:val="left"/>
      </w:pPr>
      <w:r>
        <w:rPr>
          <w:rFonts w:eastAsia="inter" w:cs="inter" w:ascii="inter" w:hAnsi="inter"/>
          <w:b/>
          <w:color w:val="000000"/>
          <w:sz w:val="24"/>
        </w:rPr>
        <w:t xml:space="preserve">Article VII: Emergency Powers and Constitutional Limits</w:t>
      </w:r>
    </w:p>
    <w:p>
      <w:pPr>
        <w:spacing w:line="360" w:before="315" w:after="105" w:lineRule="auto"/>
        <w:ind w:left="-30"/>
        <w:jc w:val="left"/>
      </w:pPr>
      <w:r>
        <w:rPr>
          <w:rFonts w:eastAsia="inter" w:cs="inter" w:ascii="inter" w:hAnsi="inter"/>
          <w:b/>
          <w:color w:val="000000"/>
          <w:sz w:val="24"/>
        </w:rPr>
        <w:t xml:space="preserve">Section 7.1 Emergency Declarations</w:t>
      </w:r>
    </w:p>
    <w:p>
      <w:pPr>
        <w:spacing w:line="360" w:after="210" w:lineRule="auto"/>
      </w:pPr>
      <w:r>
        <w:rPr>
          <w:rFonts w:eastAsia="inter" w:cs="inter" w:ascii="inter" w:hAnsi="inter"/>
          <w:color w:val="000000"/>
        </w:rPr>
        <w:t xml:space="preserve">C3s may invoke emergency powers only when:</w:t>
      </w:r>
    </w:p>
    <w:p>
      <w:pPr>
        <w:numPr>
          <w:ilvl w:val="0"/>
          <w:numId w:val="24"/>
        </w:numPr>
        <w:spacing w:line="360" w:before="105" w:after="105" w:lineRule="auto"/>
      </w:pPr>
      <w:r>
        <w:rPr>
          <w:rFonts w:eastAsia="inter" w:cs="inter" w:ascii="inter" w:hAnsi="inter"/>
          <w:color w:val="000000"/>
          <w:sz w:val="21"/>
        </w:rPr>
        <w:t xml:space="preserve">Existential threats to community survival are imminent and documented through transparent evidence</w:t>
      </w:r>
    </w:p>
    <w:p>
      <w:pPr>
        <w:numPr>
          <w:ilvl w:val="0"/>
          <w:numId w:val="24"/>
        </w:numPr>
        <w:spacing w:line="360" w:before="105" w:after="105" w:lineRule="auto"/>
      </w:pPr>
      <w:r>
        <w:rPr>
          <w:rFonts w:eastAsia="inter" w:cs="inter" w:ascii="inter" w:hAnsi="inter"/>
          <w:color w:val="000000"/>
          <w:sz w:val="21"/>
        </w:rPr>
        <w:t xml:space="preserve">Democratic approval by supermajority (67%) of active members is obtained through expedited voting procedures</w:t>
      </w:r>
    </w:p>
    <w:p>
      <w:pPr>
        <w:numPr>
          <w:ilvl w:val="0"/>
          <w:numId w:val="24"/>
        </w:numPr>
        <w:spacing w:line="360" w:before="105" w:after="105" w:lineRule="auto"/>
      </w:pPr>
      <w:r>
        <w:rPr>
          <w:rFonts w:eastAsia="inter" w:cs="inter" w:ascii="inter" w:hAnsi="inter"/>
          <w:color w:val="000000"/>
          <w:sz w:val="21"/>
        </w:rPr>
        <w:t xml:space="preserve">Time limitations restrict emergency powers to maximum 30-day periods with renewal requiring fresh supermajority approval</w:t>
      </w:r>
    </w:p>
    <w:p>
      <w:pPr>
        <w:numPr>
          <w:ilvl w:val="0"/>
          <w:numId w:val="24"/>
        </w:numPr>
        <w:spacing w:line="360" w:before="105" w:after="105" w:lineRule="auto"/>
      </w:pPr>
      <w:r>
        <w:rPr>
          <w:rFonts w:eastAsia="inter" w:cs="inter" w:ascii="inter" w:hAnsi="inter"/>
          <w:color w:val="000000"/>
          <w:sz w:val="21"/>
        </w:rPr>
        <w:t xml:space="preserve">Rights preservation ensures core freedoms remain protected even during emergencies with only narrow, specific restrictions permitted</w:t>
      </w:r>
    </w:p>
    <w:p>
      <w:pPr>
        <w:numPr>
          <w:ilvl w:val="0"/>
          <w:numId w:val="24"/>
        </w:numPr>
        <w:spacing w:line="360" w:before="105" w:after="105" w:lineRule="auto"/>
      </w:pPr>
      <w:r>
        <w:rPr>
          <w:rFonts w:eastAsia="inter" w:cs="inter" w:ascii="inter" w:hAnsi="inter"/>
          <w:b/>
          <w:color w:val="000000"/>
          <w:sz w:val="21"/>
        </w:rPr>
        <w:t xml:space="preserve">Asset sovereignty protections</w:t>
      </w:r>
      <w:r>
        <w:rPr>
          <w:rFonts w:eastAsia="inter" w:cs="inter" w:ascii="inter" w:hAnsi="inter"/>
          <w:color w:val="000000"/>
          <w:sz w:val="21"/>
        </w:rPr>
        <w:t xml:space="preserve"> remain inviolate even during emergency periods</w:t>
      </w:r>
    </w:p>
    <w:p>
      <w:pPr>
        <w:spacing w:line="360" w:before="315" w:after="105" w:lineRule="auto"/>
        <w:ind w:left="-30"/>
        <w:jc w:val="left"/>
      </w:pPr>
      <w:r>
        <w:rPr>
          <w:rFonts w:eastAsia="inter" w:cs="inter" w:ascii="inter" w:hAnsi="inter"/>
          <w:b/>
          <w:color w:val="000000"/>
          <w:sz w:val="24"/>
        </w:rPr>
        <w:t xml:space="preserve">Section 7.2 Constitutional Amendment Process</w:t>
      </w:r>
    </w:p>
    <w:p>
      <w:pPr>
        <w:spacing w:line="360" w:after="210" w:lineRule="auto"/>
      </w:pPr>
      <w:r>
        <w:rPr>
          <w:rFonts w:eastAsia="inter" w:cs="inter" w:ascii="inter" w:hAnsi="inter"/>
          <w:color w:val="000000"/>
        </w:rPr>
        <w:t xml:space="preserve">This Bill of Rights may be amended only through:</w:t>
      </w:r>
    </w:p>
    <w:p>
      <w:pPr>
        <w:numPr>
          <w:ilvl w:val="0"/>
          <w:numId w:val="25"/>
        </w:numPr>
        <w:spacing w:line="360" w:before="105" w:after="105" w:lineRule="auto"/>
      </w:pPr>
      <w:r>
        <w:rPr>
          <w:rFonts w:eastAsia="inter" w:cs="inter" w:ascii="inter" w:hAnsi="inter"/>
          <w:color w:val="000000"/>
          <w:sz w:val="21"/>
        </w:rPr>
        <w:t xml:space="preserve">Alliance-wide referendum requiring 75% approval from participating C3s weighted by active membership</w:t>
      </w:r>
    </w:p>
    <w:p>
      <w:pPr>
        <w:numPr>
          <w:ilvl w:val="0"/>
          <w:numId w:val="25"/>
        </w:numPr>
        <w:spacing w:line="360" w:before="105" w:after="105" w:lineRule="auto"/>
      </w:pPr>
      <w:r>
        <w:rPr>
          <w:rFonts w:eastAsia="inter" w:cs="inter" w:ascii="inter" w:hAnsi="inter"/>
          <w:color w:val="000000"/>
          <w:sz w:val="21"/>
        </w:rPr>
        <w:t xml:space="preserve">Individual C3 ratification by 67% supermajority within each community adopting amendments</w:t>
      </w:r>
    </w:p>
    <w:p>
      <w:pPr>
        <w:numPr>
          <w:ilvl w:val="0"/>
          <w:numId w:val="25"/>
        </w:numPr>
        <w:spacing w:line="360" w:before="105" w:after="105" w:lineRule="auto"/>
      </w:pPr>
      <w:r>
        <w:rPr>
          <w:rFonts w:eastAsia="inter" w:cs="inter" w:ascii="inter" w:hAnsi="inter"/>
          <w:color w:val="000000"/>
          <w:sz w:val="21"/>
        </w:rPr>
        <w:t xml:space="preserve">Sunset provisions requiring reaffirmation of all amendments every seven years through fresh democratic approval</w:t>
      </w:r>
    </w:p>
    <w:p>
      <w:pPr>
        <w:numPr>
          <w:ilvl w:val="0"/>
          <w:numId w:val="25"/>
        </w:numPr>
        <w:spacing w:line="360" w:before="105" w:after="105" w:lineRule="auto"/>
      </w:pPr>
      <w:r>
        <w:rPr>
          <w:rFonts w:eastAsia="inter" w:cs="inter" w:ascii="inter" w:hAnsi="inter"/>
          <w:b/>
          <w:color w:val="000000"/>
          <w:sz w:val="21"/>
        </w:rPr>
        <w:t xml:space="preserve">Core rights protection</w:t>
      </w:r>
      <w:r>
        <w:rPr>
          <w:rFonts w:eastAsia="inter" w:cs="inter" w:ascii="inter" w:hAnsi="inter"/>
          <w:color w:val="000000"/>
          <w:sz w:val="21"/>
        </w:rPr>
        <w:t xml:space="preserve"> ensuring the four fundamental freedoms (Movement, Association, Commerce, Expression) and </w:t>
      </w:r>
      <w:r>
        <w:rPr>
          <w:rFonts w:eastAsia="inter" w:cs="inter" w:ascii="inter" w:hAnsi="inter"/>
          <w:b/>
          <w:color w:val="000000"/>
          <w:sz w:val="21"/>
        </w:rPr>
        <w:t xml:space="preserve">asset sovereignty rights</w:t>
      </w:r>
      <w:r>
        <w:rPr>
          <w:rFonts w:eastAsia="inter" w:cs="inter" w:ascii="inter" w:hAnsi="inter"/>
          <w:color w:val="000000"/>
          <w:sz w:val="21"/>
        </w:rPr>
        <w:t xml:space="preserve"> cannot be eliminated or substantially diminished</w:t>
      </w:r>
    </w:p>
    <w:p>
      <w:pPr>
        <w:spacing w:line="360" w:before="315" w:after="105" w:lineRule="auto"/>
        <w:ind w:left="-30"/>
        <w:jc w:val="left"/>
      </w:pPr>
      <w:r>
        <w:rPr>
          <w:rFonts w:eastAsia="inter" w:cs="inter" w:ascii="inter" w:hAnsi="inter"/>
          <w:b/>
          <w:color w:val="000000"/>
          <w:sz w:val="24"/>
        </w:rPr>
        <w:t xml:space="preserve">Article VIII: Enforcement and Remedies</w:t>
      </w:r>
    </w:p>
    <w:p>
      <w:pPr>
        <w:spacing w:line="360" w:before="315" w:after="105" w:lineRule="auto"/>
        <w:ind w:left="-30"/>
        <w:jc w:val="left"/>
      </w:pPr>
      <w:r>
        <w:rPr>
          <w:rFonts w:eastAsia="inter" w:cs="inter" w:ascii="inter" w:hAnsi="inter"/>
          <w:b/>
          <w:color w:val="000000"/>
          <w:sz w:val="24"/>
        </w:rPr>
        <w:t xml:space="preserve">Section 8.1 Violation Response</w:t>
      </w:r>
    </w:p>
    <w:p>
      <w:pPr>
        <w:spacing w:line="360" w:after="210" w:lineRule="auto"/>
      </w:pPr>
      <w:r>
        <w:rPr>
          <w:rFonts w:eastAsia="inter" w:cs="inter" w:ascii="inter" w:hAnsi="inter"/>
          <w:color w:val="000000"/>
        </w:rPr>
        <w:t xml:space="preserve">When rights violations occur:</w:t>
      </w:r>
    </w:p>
    <w:p>
      <w:pPr>
        <w:numPr>
          <w:ilvl w:val="0"/>
          <w:numId w:val="26"/>
        </w:numPr>
        <w:spacing w:line="360" w:before="105" w:after="105" w:lineRule="auto"/>
      </w:pPr>
      <w:r>
        <w:rPr>
          <w:rFonts w:eastAsia="inter" w:cs="inter" w:ascii="inter" w:hAnsi="inter"/>
          <w:color w:val="000000"/>
          <w:sz w:val="21"/>
        </w:rPr>
        <w:t xml:space="preserve">Immediate injunction powers for Judicial Loops to halt ongoing violations pending full investigation</w:t>
      </w:r>
    </w:p>
    <w:p>
      <w:pPr>
        <w:numPr>
          <w:ilvl w:val="0"/>
          <w:numId w:val="26"/>
        </w:numPr>
        <w:spacing w:line="360" w:before="105" w:after="105" w:lineRule="auto"/>
      </w:pPr>
      <w:r>
        <w:rPr>
          <w:rFonts w:eastAsia="inter" w:cs="inter" w:ascii="inter" w:hAnsi="inter"/>
          <w:color w:val="000000"/>
          <w:sz w:val="21"/>
        </w:rPr>
        <w:t xml:space="preserve">Restitution requirements ensuring harmed members receive compensation for damages or lost opportunities</w:t>
      </w:r>
    </w:p>
    <w:p>
      <w:pPr>
        <w:numPr>
          <w:ilvl w:val="0"/>
          <w:numId w:val="26"/>
        </w:numPr>
        <w:spacing w:line="360" w:before="105" w:after="105" w:lineRule="auto"/>
      </w:pPr>
      <w:r>
        <w:rPr>
          <w:rFonts w:eastAsia="inter" w:cs="inter" w:ascii="inter" w:hAnsi="inter"/>
          <w:color w:val="000000"/>
          <w:sz w:val="21"/>
        </w:rPr>
        <w:t xml:space="preserve">Governance sanctions including removal of officials, reversal of decisions, and constitutional remedies for systematic violations</w:t>
      </w:r>
    </w:p>
    <w:p>
      <w:pPr>
        <w:numPr>
          <w:ilvl w:val="0"/>
          <w:numId w:val="26"/>
        </w:numPr>
        <w:spacing w:line="360" w:before="105" w:after="105" w:lineRule="auto"/>
      </w:pPr>
      <w:r>
        <w:rPr>
          <w:rFonts w:eastAsia="inter" w:cs="inter" w:ascii="inter" w:hAnsi="inter"/>
          <w:b/>
          <w:color w:val="000000"/>
          <w:sz w:val="21"/>
        </w:rPr>
        <w:t xml:space="preserve">Asset portability protection</w:t>
      </w:r>
      <w:r>
        <w:rPr>
          <w:rFonts w:eastAsia="inter" w:cs="inter" w:ascii="inter" w:hAnsi="inter"/>
          <w:color w:val="000000"/>
          <w:sz w:val="21"/>
        </w:rPr>
        <w:t xml:space="preserve"> guaranteeing members can leave C3s with full asset sovereignty if rights violations cannot be remedied</w:t>
      </w:r>
    </w:p>
    <w:p>
      <w:pPr>
        <w:numPr>
          <w:ilvl w:val="0"/>
          <w:numId w:val="26"/>
        </w:numPr>
        <w:spacing w:line="360" w:before="105" w:after="105" w:lineRule="auto"/>
      </w:pPr>
      <w:r>
        <w:rPr>
          <w:rFonts w:eastAsia="inter" w:cs="inter" w:ascii="inter" w:hAnsi="inter"/>
          <w:b/>
          <w:color w:val="000000"/>
          <w:sz w:val="21"/>
        </w:rPr>
        <w:t xml:space="preserve">Emergency asset protection</w:t>
      </w:r>
      <w:r>
        <w:rPr>
          <w:rFonts w:eastAsia="inter" w:cs="inter" w:ascii="inter" w:hAnsi="inter"/>
          <w:color w:val="000000"/>
          <w:sz w:val="21"/>
        </w:rPr>
        <w:t xml:space="preserve"> procedures for members facing persecution or rights violations</w:t>
      </w:r>
    </w:p>
    <w:p>
      <w:pPr>
        <w:spacing w:line="360" w:before="315" w:after="105" w:lineRule="auto"/>
        <w:ind w:left="-30"/>
        <w:jc w:val="left"/>
      </w:pPr>
      <w:r>
        <w:rPr>
          <w:rFonts w:eastAsia="inter" w:cs="inter" w:ascii="inter" w:hAnsi="inter"/>
          <w:b/>
          <w:color w:val="000000"/>
          <w:sz w:val="24"/>
        </w:rPr>
        <w:t xml:space="preserve">Section 8.2 External Legal Coordination</w:t>
      </w:r>
    </w:p>
    <w:p>
      <w:pPr>
        <w:spacing w:line="360" w:after="210" w:lineRule="auto"/>
      </w:pPr>
      <w:r>
        <w:rPr>
          <w:rFonts w:eastAsia="inter" w:cs="inter" w:ascii="inter" w:hAnsi="inter"/>
          <w:color w:val="000000"/>
        </w:rPr>
        <w:t xml:space="preserve">C3s will coordinate with external legal systems to:</w:t>
      </w:r>
    </w:p>
    <w:p>
      <w:pPr>
        <w:numPr>
          <w:ilvl w:val="0"/>
          <w:numId w:val="27"/>
        </w:numPr>
        <w:spacing w:line="360" w:before="105" w:after="105" w:lineRule="auto"/>
      </w:pPr>
      <w:r>
        <w:rPr>
          <w:rFonts w:eastAsia="inter" w:cs="inter" w:ascii="inter" w:hAnsi="inter"/>
          <w:color w:val="000000"/>
          <w:sz w:val="21"/>
        </w:rPr>
        <w:t xml:space="preserve">Honor member choice of legal jurisdiction for disputes that cannot be resolved through internal governance</w:t>
      </w:r>
    </w:p>
    <w:p>
      <w:pPr>
        <w:numPr>
          <w:ilvl w:val="0"/>
          <w:numId w:val="27"/>
        </w:numPr>
        <w:spacing w:line="360" w:before="105" w:after="105" w:lineRule="auto"/>
      </w:pPr>
      <w:r>
        <w:rPr>
          <w:rFonts w:eastAsia="inter" w:cs="inter" w:ascii="inter" w:hAnsi="inter"/>
          <w:color w:val="000000"/>
          <w:sz w:val="21"/>
        </w:rPr>
        <w:t xml:space="preserve">Resist overreach from governmental or corporate entities attempting to violate member sovereignty</w:t>
      </w:r>
    </w:p>
    <w:p>
      <w:pPr>
        <w:numPr>
          <w:ilvl w:val="0"/>
          <w:numId w:val="27"/>
        </w:numPr>
        <w:spacing w:line="360" w:before="105" w:after="105" w:lineRule="auto"/>
      </w:pPr>
      <w:r>
        <w:rPr>
          <w:rFonts w:eastAsia="inter" w:cs="inter" w:ascii="inter" w:hAnsi="inter"/>
          <w:color w:val="000000"/>
          <w:sz w:val="21"/>
        </w:rPr>
        <w:t xml:space="preserve">Maintain cooperative identity even when working with external authorities or business partners</w:t>
      </w:r>
    </w:p>
    <w:p>
      <w:pPr>
        <w:numPr>
          <w:ilvl w:val="0"/>
          <w:numId w:val="27"/>
        </w:numPr>
        <w:spacing w:line="360" w:before="105" w:after="105" w:lineRule="auto"/>
      </w:pPr>
      <w:r>
        <w:rPr>
          <w:rFonts w:eastAsia="inter" w:cs="inter" w:ascii="inter" w:hAnsi="inter"/>
          <w:color w:val="000000"/>
          <w:sz w:val="21"/>
        </w:rPr>
        <w:t xml:space="preserve">Protect member assets through legal structures designed to prevent seizure, taxation, or control by hostile external actors</w:t>
      </w:r>
    </w:p>
    <w:p>
      <w:pPr>
        <w:numPr>
          <w:ilvl w:val="0"/>
          <w:numId w:val="27"/>
        </w:numPr>
        <w:spacing w:line="360" w:before="105" w:after="105" w:lineRule="auto"/>
      </w:pPr>
      <w:r>
        <w:rPr>
          <w:rFonts w:eastAsia="inter" w:cs="inter" w:ascii="inter" w:hAnsi="inter"/>
          <w:b/>
          <w:color w:val="000000"/>
          <w:sz w:val="21"/>
        </w:rPr>
        <w:t xml:space="preserve">Multi-jurisdictional asset protection</w:t>
      </w:r>
      <w:r>
        <w:rPr>
          <w:rFonts w:eastAsia="inter" w:cs="inter" w:ascii="inter" w:hAnsi="inter"/>
          <w:color w:val="000000"/>
          <w:sz w:val="21"/>
        </w:rPr>
        <w:t xml:space="preserve"> leveraging blockchain technology's resistance to single-point-of-failure seizure</w:t>
      </w:r>
    </w:p>
    <w:p>
      <w:pPr>
        <w:spacing w:line="360" w:before="315" w:after="105" w:lineRule="auto"/>
        <w:ind w:left="-30"/>
        <w:jc w:val="left"/>
      </w:pPr>
      <w:r>
        <w:rPr>
          <w:rFonts w:eastAsia="inter" w:cs="inter" w:ascii="inter" w:hAnsi="inter"/>
          <w:b/>
          <w:color w:val="000000"/>
          <w:sz w:val="24"/>
        </w:rPr>
        <w:t xml:space="preserve">Section 8.3 Multi-Asset Protection Enforcement</w:t>
      </w:r>
    </w:p>
    <w:p>
      <w:pPr>
        <w:spacing w:line="360" w:after="210" w:lineRule="auto"/>
      </w:pPr>
      <w:r>
        <w:rPr>
          <w:rFonts w:eastAsia="inter" w:cs="inter" w:ascii="inter" w:hAnsi="inter"/>
          <w:color w:val="000000"/>
        </w:rPr>
        <w:t xml:space="preserve">Specific enforcement mechanisms include:</w:t>
      </w:r>
    </w:p>
    <w:p>
      <w:pPr>
        <w:numPr>
          <w:ilvl w:val="0"/>
          <w:numId w:val="28"/>
        </w:numPr>
        <w:spacing w:line="360" w:before="105" w:after="105" w:lineRule="auto"/>
      </w:pPr>
      <w:r>
        <w:rPr>
          <w:rFonts w:eastAsia="inter" w:cs="inter" w:ascii="inter" w:hAnsi="inter"/>
          <w:b/>
          <w:color w:val="000000"/>
          <w:sz w:val="21"/>
        </w:rPr>
        <w:t xml:space="preserve">Democratic asset protection</w:t>
      </w:r>
      <w:r>
        <w:rPr>
          <w:rFonts w:eastAsia="inter" w:cs="inter" w:ascii="inter" w:hAnsi="inter"/>
          <w:color w:val="000000"/>
          <w:sz w:val="21"/>
        </w:rPr>
        <w:t xml:space="preserve"> procedures preventing arbitrary removal of approved vault assets</w:t>
      </w:r>
    </w:p>
    <w:p>
      <w:pPr>
        <w:numPr>
          <w:ilvl w:val="0"/>
          <w:numId w:val="28"/>
        </w:numPr>
        <w:spacing w:line="360" w:before="105" w:after="105" w:lineRule="auto"/>
      </w:pPr>
      <w:r>
        <w:rPr>
          <w:rFonts w:eastAsia="inter" w:cs="inter" w:ascii="inter" w:hAnsi="inter"/>
          <w:b/>
          <w:color w:val="000000"/>
          <w:sz w:val="21"/>
        </w:rPr>
        <w:t xml:space="preserve">Cross-chain enforcement</w:t>
      </w:r>
      <w:r>
        <w:rPr>
          <w:rFonts w:eastAsia="inter" w:cs="inter" w:ascii="inter" w:hAnsi="inter"/>
          <w:color w:val="000000"/>
          <w:sz w:val="21"/>
        </w:rPr>
        <w:t xml:space="preserve"> capabilities protecting member rights across multiple blockchain ecosystems</w:t>
      </w:r>
    </w:p>
    <w:p>
      <w:pPr>
        <w:numPr>
          <w:ilvl w:val="0"/>
          <w:numId w:val="28"/>
        </w:numPr>
        <w:spacing w:line="360" w:before="105" w:after="105" w:lineRule="auto"/>
      </w:pPr>
      <w:r>
        <w:rPr>
          <w:rFonts w:eastAsia="inter" w:cs="inter" w:ascii="inter" w:hAnsi="inter"/>
          <w:b/>
          <w:color w:val="000000"/>
          <w:sz w:val="21"/>
        </w:rPr>
        <w:t xml:space="preserve">ISPO project accountability</w:t>
      </w:r>
      <w:r>
        <w:rPr>
          <w:rFonts w:eastAsia="inter" w:cs="inter" w:ascii="inter" w:hAnsi="inter"/>
          <w:color w:val="000000"/>
          <w:sz w:val="21"/>
        </w:rPr>
        <w:t xml:space="preserve"> ensuring democratic promises and reward structures are maintained</w:t>
      </w:r>
    </w:p>
    <w:p>
      <w:pPr>
        <w:numPr>
          <w:ilvl w:val="0"/>
          <w:numId w:val="28"/>
        </w:numPr>
        <w:spacing w:line="360" w:before="105" w:after="105" w:lineRule="auto"/>
      </w:pPr>
      <w:r>
        <w:rPr>
          <w:rFonts w:eastAsia="inter" w:cs="inter" w:ascii="inter" w:hAnsi="inter"/>
          <w:b/>
          <w:color w:val="000000"/>
          <w:sz w:val="21"/>
        </w:rPr>
        <w:t xml:space="preserve">NFT rights enforcement</w:t>
      </w:r>
      <w:r>
        <w:rPr>
          <w:rFonts w:eastAsia="inter" w:cs="inter" w:ascii="inter" w:hAnsi="inter"/>
          <w:color w:val="000000"/>
          <w:sz w:val="21"/>
        </w:rPr>
        <w:t xml:space="preserve"> protecting member ownership and utilization rights for non-fungible assets</w:t>
      </w:r>
    </w:p>
    <w:p>
      <w:pPr>
        <w:spacing w:line="360" w:before="315" w:after="105" w:lineRule="auto"/>
        <w:ind w:left="-30"/>
        <w:jc w:val="left"/>
      </w:pPr>
      <w:r>
        <w:rPr>
          <w:rFonts w:eastAsia="inter" w:cs="inter" w:ascii="inter" w:hAnsi="inter"/>
          <w:b/>
          <w:color w:val="000000"/>
          <w:sz w:val="24"/>
        </w:rPr>
        <w:t xml:space="preserve">Article IX: Multi-Asset Governance Rights</w:t>
      </w:r>
    </w:p>
    <w:p>
      <w:pPr>
        <w:spacing w:line="360" w:before="315" w:after="105" w:lineRule="auto"/>
        <w:ind w:left="-30"/>
        <w:jc w:val="left"/>
      </w:pPr>
      <w:r>
        <w:rPr>
          <w:rFonts w:eastAsia="inter" w:cs="inter" w:ascii="inter" w:hAnsi="inter"/>
          <w:b/>
          <w:color w:val="000000"/>
          <w:sz w:val="24"/>
        </w:rPr>
        <w:t xml:space="preserve">Section 9.1 Democratic Asset Approval Rights</w:t>
      </w:r>
    </w:p>
    <w:p>
      <w:pPr>
        <w:spacing w:line="360" w:after="210" w:lineRule="auto"/>
      </w:pPr>
      <w:r>
        <w:rPr>
          <w:rFonts w:eastAsia="inter" w:cs="inter" w:ascii="inter" w:hAnsi="inter"/>
          <w:color w:val="000000"/>
        </w:rPr>
        <w:t xml:space="preserve">Members possess constitutional rights to:</w:t>
      </w:r>
    </w:p>
    <w:p>
      <w:pPr>
        <w:numPr>
          <w:ilvl w:val="0"/>
          <w:numId w:val="29"/>
        </w:numPr>
        <w:spacing w:line="360" w:before="105" w:after="105" w:lineRule="auto"/>
      </w:pPr>
      <w:r>
        <w:rPr>
          <w:rFonts w:eastAsia="inter" w:cs="inter" w:ascii="inter" w:hAnsi="inter"/>
          <w:b/>
          <w:color w:val="000000"/>
          <w:sz w:val="21"/>
        </w:rPr>
        <w:t xml:space="preserve">Propose new asset types</w:t>
      </w:r>
      <w:r>
        <w:rPr>
          <w:rFonts w:eastAsia="inter" w:cs="inter" w:ascii="inter" w:hAnsi="inter"/>
          <w:color w:val="000000"/>
          <w:sz w:val="21"/>
        </w:rPr>
        <w:t xml:space="preserve"> for community vault approval through established democratic processes</w:t>
      </w:r>
    </w:p>
    <w:p>
      <w:pPr>
        <w:numPr>
          <w:ilvl w:val="0"/>
          <w:numId w:val="29"/>
        </w:numPr>
        <w:spacing w:line="360" w:before="105" w:after="105" w:lineRule="auto"/>
      </w:pPr>
      <w:r>
        <w:rPr>
          <w:rFonts w:eastAsia="inter" w:cs="inter" w:ascii="inter" w:hAnsi="inter"/>
          <w:b/>
          <w:color w:val="000000"/>
          <w:sz w:val="21"/>
        </w:rPr>
        <w:t xml:space="preserve">Equal voting power</w:t>
      </w:r>
      <w:r>
        <w:rPr>
          <w:rFonts w:eastAsia="inter" w:cs="inter" w:ascii="inter" w:hAnsi="inter"/>
          <w:color w:val="000000"/>
          <w:sz w:val="21"/>
        </w:rPr>
        <w:t xml:space="preserve"> in asset approval decisions regardless of personal vault composition</w:t>
      </w:r>
    </w:p>
    <w:p>
      <w:pPr>
        <w:numPr>
          <w:ilvl w:val="0"/>
          <w:numId w:val="29"/>
        </w:numPr>
        <w:spacing w:line="360" w:before="105" w:after="105" w:lineRule="auto"/>
      </w:pPr>
      <w:r>
        <w:rPr>
          <w:rFonts w:eastAsia="inter" w:cs="inter" w:ascii="inter" w:hAnsi="inter"/>
          <w:b/>
          <w:color w:val="000000"/>
          <w:sz w:val="21"/>
        </w:rPr>
        <w:t xml:space="preserve">Transparent evaluation criteria</w:t>
      </w:r>
      <w:r>
        <w:rPr>
          <w:rFonts w:eastAsia="inter" w:cs="inter" w:ascii="inter" w:hAnsi="inter"/>
          <w:color w:val="000000"/>
          <w:sz w:val="21"/>
        </w:rPr>
        <w:t xml:space="preserve"> for asset approval including security, utility, and community benefit assessments</w:t>
      </w:r>
    </w:p>
    <w:p>
      <w:pPr>
        <w:numPr>
          <w:ilvl w:val="0"/>
          <w:numId w:val="29"/>
        </w:numPr>
        <w:spacing w:line="360" w:before="105" w:after="105" w:lineRule="auto"/>
      </w:pPr>
      <w:r>
        <w:rPr>
          <w:rFonts w:eastAsia="inter" w:cs="inter" w:ascii="inter" w:hAnsi="inter"/>
          <w:b/>
          <w:color w:val="000000"/>
          <w:sz w:val="21"/>
        </w:rPr>
        <w:t xml:space="preserve">Appeal mechanisms</w:t>
      </w:r>
      <w:r>
        <w:rPr>
          <w:rFonts w:eastAsia="inter" w:cs="inter" w:ascii="inter" w:hAnsi="inter"/>
          <w:color w:val="000000"/>
          <w:sz w:val="21"/>
        </w:rPr>
        <w:t xml:space="preserve"> for asset approval or removal decisions</w:t>
      </w:r>
    </w:p>
    <w:p>
      <w:pPr>
        <w:numPr>
          <w:ilvl w:val="0"/>
          <w:numId w:val="29"/>
        </w:numPr>
        <w:spacing w:line="360" w:before="105" w:after="105" w:lineRule="auto"/>
      </w:pPr>
      <w:r>
        <w:rPr>
          <w:rFonts w:eastAsia="inter" w:cs="inter" w:ascii="inter" w:hAnsi="inter"/>
          <w:b/>
          <w:color w:val="000000"/>
          <w:sz w:val="21"/>
        </w:rPr>
        <w:t xml:space="preserve">Protection from asset discrimination</w:t>
      </w:r>
      <w:r>
        <w:rPr>
          <w:rFonts w:eastAsia="inter" w:cs="inter" w:ascii="inter" w:hAnsi="inter"/>
          <w:color w:val="000000"/>
          <w:sz w:val="21"/>
        </w:rPr>
        <w:t xml:space="preserve"> ensuring no member faces disadvantage based on asset choices</w:t>
      </w:r>
    </w:p>
    <w:p>
      <w:pPr>
        <w:spacing w:line="360" w:before="315" w:after="105" w:lineRule="auto"/>
        <w:ind w:left="-30"/>
        <w:jc w:val="left"/>
      </w:pPr>
      <w:r>
        <w:rPr>
          <w:rFonts w:eastAsia="inter" w:cs="inter" w:ascii="inter" w:hAnsi="inter"/>
          <w:b/>
          <w:color w:val="000000"/>
          <w:sz w:val="24"/>
        </w:rPr>
        <w:t xml:space="preserve">Section 9.2 ISPO Democratic Participation Rights</w:t>
      </w:r>
    </w:p>
    <w:p>
      <w:pPr>
        <w:spacing w:line="360" w:after="210" w:lineRule="auto"/>
      </w:pPr>
      <w:r>
        <w:rPr>
          <w:rFonts w:eastAsia="inter" w:cs="inter" w:ascii="inter" w:hAnsi="inter"/>
          <w:color w:val="000000"/>
        </w:rPr>
        <w:t xml:space="preserve">ISPO governance rights include:</w:t>
      </w:r>
    </w:p>
    <w:p>
      <w:pPr>
        <w:numPr>
          <w:ilvl w:val="0"/>
          <w:numId w:val="30"/>
        </w:numPr>
        <w:spacing w:line="360" w:before="105" w:after="105" w:lineRule="auto"/>
      </w:pPr>
      <w:r>
        <w:rPr>
          <w:rFonts w:eastAsia="inter" w:cs="inter" w:ascii="inter" w:hAnsi="inter"/>
          <w:b/>
          <w:color w:val="000000"/>
          <w:sz w:val="21"/>
        </w:rPr>
        <w:t xml:space="preserve">Democratic project evaluation</w:t>
      </w:r>
      <w:r>
        <w:rPr>
          <w:rFonts w:eastAsia="inter" w:cs="inter" w:ascii="inter" w:hAnsi="inter"/>
          <w:color w:val="000000"/>
          <w:sz w:val="21"/>
        </w:rPr>
        <w:t xml:space="preserve"> through Impact Quest constitutional procedures</w:t>
      </w:r>
    </w:p>
    <w:p>
      <w:pPr>
        <w:numPr>
          <w:ilvl w:val="0"/>
          <w:numId w:val="30"/>
        </w:numPr>
        <w:spacing w:line="360" w:before="105" w:after="105" w:lineRule="auto"/>
      </w:pPr>
      <w:r>
        <w:rPr>
          <w:rFonts w:eastAsia="inter" w:cs="inter" w:ascii="inter" w:hAnsi="inter"/>
          <w:b/>
          <w:color w:val="000000"/>
          <w:sz w:val="21"/>
        </w:rPr>
        <w:t xml:space="preserve">Community benefit priority</w:t>
      </w:r>
      <w:r>
        <w:rPr>
          <w:rFonts w:eastAsia="inter" w:cs="inter" w:ascii="inter" w:hAnsi="inter"/>
          <w:color w:val="000000"/>
          <w:sz w:val="21"/>
        </w:rPr>
        <w:t xml:space="preserve"> in project selection over individual profit maximization</w:t>
      </w:r>
    </w:p>
    <w:p>
      <w:pPr>
        <w:numPr>
          <w:ilvl w:val="0"/>
          <w:numId w:val="30"/>
        </w:numPr>
        <w:spacing w:line="360" w:before="105" w:after="105" w:lineRule="auto"/>
      </w:pPr>
      <w:r>
        <w:rPr>
          <w:rFonts w:eastAsia="inter" w:cs="inter" w:ascii="inter" w:hAnsi="inter"/>
          <w:b/>
          <w:color w:val="000000"/>
          <w:sz w:val="21"/>
        </w:rPr>
        <w:t xml:space="preserve">Transparent project reporting</w:t>
      </w:r>
      <w:r>
        <w:rPr>
          <w:rFonts w:eastAsia="inter" w:cs="inter" w:ascii="inter" w:hAnsi="inter"/>
          <w:color w:val="000000"/>
          <w:sz w:val="21"/>
        </w:rPr>
        <w:t xml:space="preserve"> and accountability throughout ISPO lifecycle</w:t>
      </w:r>
    </w:p>
    <w:p>
      <w:pPr>
        <w:numPr>
          <w:ilvl w:val="0"/>
          <w:numId w:val="30"/>
        </w:numPr>
        <w:spacing w:line="360" w:before="105" w:after="105" w:lineRule="auto"/>
      </w:pPr>
      <w:r>
        <w:rPr>
          <w:rFonts w:eastAsia="inter" w:cs="inter" w:ascii="inter" w:hAnsi="inter"/>
          <w:b/>
          <w:color w:val="000000"/>
          <w:sz w:val="21"/>
        </w:rPr>
        <w:t xml:space="preserve">Member protection</w:t>
      </w:r>
      <w:r>
        <w:rPr>
          <w:rFonts w:eastAsia="inter" w:cs="inter" w:ascii="inter" w:hAnsi="inter"/>
          <w:color w:val="000000"/>
          <w:sz w:val="21"/>
        </w:rPr>
        <w:t xml:space="preserve"> from fraudulent or harmful projects through community vetting</w:t>
      </w:r>
    </w:p>
    <w:p>
      <w:pPr>
        <w:numPr>
          <w:ilvl w:val="0"/>
          <w:numId w:val="30"/>
        </w:numPr>
        <w:spacing w:line="360" w:before="105" w:after="105" w:lineRule="auto"/>
      </w:pPr>
      <w:r>
        <w:rPr>
          <w:rFonts w:eastAsia="inter" w:cs="inter" w:ascii="inter" w:hAnsi="inter"/>
          <w:b/>
          <w:color w:val="000000"/>
          <w:sz w:val="21"/>
        </w:rPr>
        <w:t xml:space="preserve">100% reward ownership</w:t>
      </w:r>
      <w:r>
        <w:rPr>
          <w:rFonts w:eastAsia="inter" w:cs="inter" w:ascii="inter" w:hAnsi="inter"/>
          <w:color w:val="000000"/>
          <w:sz w:val="21"/>
        </w:rPr>
        <w:t xml:space="preserve"> without extraction by governance or platform mechanisms</w:t>
      </w:r>
    </w:p>
    <w:p>
      <w:pPr>
        <w:spacing w:line="360" w:before="315" w:after="105" w:lineRule="auto"/>
        <w:ind w:left="-30"/>
        <w:jc w:val="left"/>
      </w:pPr>
      <w:r>
        <w:rPr>
          <w:rFonts w:eastAsia="inter" w:cs="inter" w:ascii="inter" w:hAnsi="inter"/>
          <w:b/>
          <w:color w:val="000000"/>
          <w:sz w:val="24"/>
        </w:rPr>
        <w:t xml:space="preserve">Section 9.3 Multi-Blockchain Governance Protection</w:t>
      </w:r>
    </w:p>
    <w:p>
      <w:pPr>
        <w:spacing w:line="360" w:after="210" w:lineRule="auto"/>
      </w:pPr>
      <w:r>
        <w:rPr>
          <w:rFonts w:eastAsia="inter" w:cs="inter" w:ascii="inter" w:hAnsi="inter"/>
          <w:color w:val="000000"/>
        </w:rPr>
        <w:t xml:space="preserve">Cross-chain governance rights ensure:</w:t>
      </w:r>
    </w:p>
    <w:p>
      <w:pPr>
        <w:numPr>
          <w:ilvl w:val="0"/>
          <w:numId w:val="31"/>
        </w:numPr>
        <w:spacing w:line="360" w:before="105" w:after="105" w:lineRule="auto"/>
      </w:pPr>
      <w:r>
        <w:rPr>
          <w:rFonts w:eastAsia="inter" w:cs="inter" w:ascii="inter" w:hAnsi="inter"/>
          <w:b/>
          <w:color w:val="000000"/>
          <w:sz w:val="21"/>
        </w:rPr>
        <w:t xml:space="preserve">Blockchain-neutral governance</w:t>
      </w:r>
      <w:r>
        <w:rPr>
          <w:rFonts w:eastAsia="inter" w:cs="inter" w:ascii="inter" w:hAnsi="inter"/>
          <w:color w:val="000000"/>
          <w:sz w:val="21"/>
        </w:rPr>
        <w:t xml:space="preserve"> without preference for specific ecosystem technologies</w:t>
      </w:r>
    </w:p>
    <w:p>
      <w:pPr>
        <w:numPr>
          <w:ilvl w:val="0"/>
          <w:numId w:val="31"/>
        </w:numPr>
        <w:spacing w:line="360" w:before="105" w:after="105" w:lineRule="auto"/>
      </w:pPr>
      <w:r>
        <w:rPr>
          <w:rFonts w:eastAsia="inter" w:cs="inter" w:ascii="inter" w:hAnsi="inter"/>
          <w:b/>
          <w:color w:val="000000"/>
          <w:sz w:val="21"/>
        </w:rPr>
        <w:t xml:space="preserve">Democratic technology adoption</w:t>
      </w:r>
      <w:r>
        <w:rPr>
          <w:rFonts w:eastAsia="inter" w:cs="inter" w:ascii="inter" w:hAnsi="inter"/>
          <w:color w:val="000000"/>
          <w:sz w:val="21"/>
        </w:rPr>
        <w:t xml:space="preserve"> for new blockchain integrations and features</w:t>
      </w:r>
    </w:p>
    <w:p>
      <w:pPr>
        <w:numPr>
          <w:ilvl w:val="0"/>
          <w:numId w:val="31"/>
        </w:numPr>
        <w:spacing w:line="360" w:before="105" w:after="105" w:lineRule="auto"/>
      </w:pPr>
      <w:r>
        <w:rPr>
          <w:rFonts w:eastAsia="inter" w:cs="inter" w:ascii="inter" w:hAnsi="inter"/>
          <w:b/>
          <w:color w:val="000000"/>
          <w:sz w:val="21"/>
        </w:rPr>
        <w:t xml:space="preserve">Member asset choice protection</w:t>
      </w:r>
      <w:r>
        <w:rPr>
          <w:rFonts w:eastAsia="inter" w:cs="inter" w:ascii="inter" w:hAnsi="inter"/>
          <w:color w:val="000000"/>
          <w:sz w:val="21"/>
        </w:rPr>
        <w:t xml:space="preserve"> across technological changes and upgrades</w:t>
      </w:r>
    </w:p>
    <w:p>
      <w:pPr>
        <w:numPr>
          <w:ilvl w:val="0"/>
          <w:numId w:val="31"/>
        </w:numPr>
        <w:spacing w:line="360" w:before="105" w:after="105" w:lineRule="auto"/>
      </w:pPr>
      <w:r>
        <w:rPr>
          <w:rFonts w:eastAsia="inter" w:cs="inter" w:ascii="inter" w:hAnsi="inter"/>
          <w:b/>
          <w:color w:val="000000"/>
          <w:sz w:val="21"/>
        </w:rPr>
        <w:t xml:space="preserve">Exit rights preservation</w:t>
      </w:r>
      <w:r>
        <w:rPr>
          <w:rFonts w:eastAsia="inter" w:cs="inter" w:ascii="inter" w:hAnsi="inter"/>
          <w:color w:val="000000"/>
          <w:sz w:val="21"/>
        </w:rPr>
        <w:t xml:space="preserve"> regardless of blockchain technology changes or preferences</w:t>
      </w:r>
    </w:p>
    <w:p>
      <w:pPr>
        <w:spacing w:line="360" w:before="315" w:after="105" w:lineRule="auto"/>
        <w:ind w:left="-30"/>
        <w:jc w:val="left"/>
      </w:pPr>
      <w:r>
        <w:rPr>
          <w:rFonts w:eastAsia="inter" w:cs="inter" w:ascii="inter" w:hAnsi="inter"/>
          <w:b/>
          <w:color w:val="000000"/>
          <w:sz w:val="24"/>
        </w:rPr>
        <w:t xml:space="preserve">Conclusion: The Promise of True Economic Sovereignty</w:t>
      </w:r>
    </w:p>
    <w:p>
      <w:pPr>
        <w:spacing w:line="360" w:after="210" w:lineRule="auto"/>
      </w:pPr>
      <w:r>
        <w:rPr>
          <w:rFonts w:eastAsia="inter" w:cs="inter" w:ascii="inter" w:hAnsi="inter"/>
          <w:color w:val="000000"/>
        </w:rPr>
        <w:t xml:space="preserve">This Bill of Rights represents our commitment to extending the principles of the Universal Declaration of Human Rights into the digital realm while pioneering </w:t>
      </w:r>
      <w:r>
        <w:rPr>
          <w:rFonts w:eastAsia="inter" w:cs="inter" w:ascii="inter" w:hAnsi="inter"/>
          <w:b/>
          <w:color w:val="000000"/>
        </w:rPr>
        <w:t xml:space="preserve">revolutionary asset sovereignty</w:t>
      </w:r>
      <w:r>
        <w:rPr>
          <w:rFonts w:eastAsia="inter" w:cs="inter" w:ascii="inter" w:hAnsi="inter"/>
          <w:color w:val="000000"/>
        </w:rPr>
        <w:t xml:space="preserve"> and </w:t>
      </w:r>
      <w:r>
        <w:rPr>
          <w:rFonts w:eastAsia="inter" w:cs="inter" w:ascii="inter" w:hAnsi="inter"/>
          <w:b/>
          <w:color w:val="000000"/>
        </w:rPr>
        <w:t xml:space="preserve">democratic economic participation</w:t>
      </w:r>
      <w:r>
        <w:rPr>
          <w:rFonts w:eastAsia="inter" w:cs="inter" w:ascii="inter" w:hAnsi="inter"/>
          <w:color w:val="000000"/>
        </w:rPr>
        <w:t xml:space="preserve"> across multiple blockchain ecosystems.</w:t>
      </w:r>
    </w:p>
    <w:p>
      <w:pPr>
        <w:spacing w:line="360" w:after="210" w:lineRule="auto"/>
      </w:pPr>
      <w:r>
        <w:rPr>
          <w:rFonts w:eastAsia="inter" w:cs="inter" w:ascii="inter" w:hAnsi="inter"/>
          <w:color w:val="000000"/>
        </w:rPr>
        <w:t xml:space="preserve">As blockchain technology creates permanent records of human interaction, we assert that freedom, dignity, and self-determination must be actively protected through constitutional design rather than left to the discretion of algorithms, corporate interests, or technological limitations.</w:t>
      </w:r>
    </w:p>
    <w:p>
      <w:pPr>
        <w:spacing w:line="360" w:after="210" w:lineRule="auto"/>
      </w:pPr>
      <w:r>
        <w:rPr>
          <w:rFonts w:eastAsia="inter" w:cs="inter" w:ascii="inter" w:hAnsi="inter"/>
          <w:color w:val="000000"/>
        </w:rPr>
        <w:t xml:space="preserve">The C3 Alliance stands as a beacon for human-centered technology that serves people rather than demanding their submission to specific technological or economic constraints. Through these protections, we ensure that cooperative economics, blockchain innovation, multi-asset sovereignty, and self-sovereign identity work together to create genuinely free communities in an increasingly surveilled and controlled world.</w:t>
      </w:r>
    </w:p>
    <w:p>
      <w:pPr>
        <w:spacing w:line="360" w:after="210" w:lineRule="auto"/>
      </w:pPr>
      <w:r>
        <w:rPr>
          <w:rFonts w:eastAsia="inter" w:cs="inter" w:ascii="inter" w:hAnsi="inter"/>
          <w:color w:val="000000"/>
        </w:rPr>
        <w:t xml:space="preserve">These rights are not privileges to be granted or withdrawn, but fundamental aspects of human dignity that we pledge to defend for ourselves, our fellow members, and future generations who will inherit the digital world we are building today. </w:t>
      </w:r>
      <w:r>
        <w:rPr>
          <w:rFonts w:eastAsia="inter" w:cs="inter" w:ascii="inter" w:hAnsi="inter"/>
          <w:b/>
          <w:color w:val="000000"/>
        </w:rPr>
        <w:t xml:space="preserve">True economic sovereignty requires true asset choice freedom</w:t>
      </w:r>
      <w:r>
        <w:rPr>
          <w:rFonts w:eastAsia="inter" w:cs="inter" w:ascii="inter" w:hAnsi="inter"/>
          <w:color w:val="000000"/>
        </w:rPr>
        <w:t xml:space="preserve"> - and this constitutional framework ensures both are protected as fundamental human rights.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Adopted</w:t>
      </w:r>
      <w:r>
        <w:rPr>
          <w:rFonts w:eastAsia="inter" w:cs="inter" w:ascii="inter" w:hAnsi="inter"/>
          <w:color w:val="000000"/>
        </w:rPr>
        <w:t xml:space="preserve">: Date of Alliance Formation</w:t>
      </w:r>
      <w:r>
        <w:rPr>
          <w:rFonts w:eastAsia="inter" w:cs="inter" w:ascii="inter" w:hAnsi="inter"/>
          <w:color w:val="000000"/>
        </w:rPr>
        <w:br w:type="textWrapping"/>
      </w:r>
      <w:r>
        <w:rPr>
          <w:rFonts w:eastAsia="inter" w:cs="inter" w:ascii="inter" w:hAnsi="inter"/>
          <w:b/>
          <w:color w:val="000000"/>
        </w:rPr>
        <w:t xml:space="preserve">Effective</w:t>
      </w:r>
      <w:r>
        <w:rPr>
          <w:rFonts w:eastAsia="inter" w:cs="inter" w:ascii="inter" w:hAnsi="inter"/>
          <w:color w:val="000000"/>
        </w:rPr>
        <w:t xml:space="preserve">: Upon ratification by founding C3 communities</w:t>
      </w:r>
      <w:r>
        <w:rPr>
          <w:rFonts w:eastAsia="inter" w:cs="inter" w:ascii="inter" w:hAnsi="inter"/>
          <w:color w:val="000000"/>
        </w:rPr>
        <w:br w:type="textWrapping"/>
      </w:r>
      <w:r>
        <w:rPr>
          <w:rFonts w:eastAsia="inter" w:cs="inter" w:ascii="inter" w:hAnsi="inter"/>
          <w:b/>
          <w:color w:val="000000"/>
        </w:rPr>
        <w:t xml:space="preserve">Review Cycle</w:t>
      </w:r>
      <w:r>
        <w:rPr>
          <w:rFonts w:eastAsia="inter" w:cs="inter" w:ascii="inter" w:hAnsi="inter"/>
          <w:color w:val="000000"/>
        </w:rPr>
        <w:t xml:space="preserve">: Every seven years or upon petition by 25% of Alliance membership</w:t>
      </w:r>
      <w:r>
        <w:rPr>
          <w:rFonts w:eastAsia="inter" w:cs="inter" w:ascii="inter" w:hAnsi="inter"/>
          <w:color w:val="000000"/>
        </w:rPr>
        <w:br w:type="textWrapping"/>
      </w:r>
      <w:r>
        <w:rPr>
          <w:rFonts w:eastAsia="inter" w:cs="inter" w:ascii="inter" w:hAnsi="inter"/>
          <w:b/>
          <w:color w:val="000000"/>
        </w:rPr>
        <w:t xml:space="preserve">Amendment Threshold</w:t>
      </w:r>
      <w:r>
        <w:rPr>
          <w:rFonts w:eastAsia="inter" w:cs="inter" w:ascii="inter" w:hAnsi="inter"/>
          <w:color w:val="000000"/>
        </w:rPr>
        <w:t xml:space="preserve">: 75% of participating C3s with 67% supermajority within each community</w:t>
      </w:r>
      <w:r>
        <w:rPr>
          <w:rFonts w:eastAsia="inter" w:cs="inter" w:ascii="inter" w:hAnsi="inter"/>
          <w:color w:val="000000"/>
        </w:rPr>
        <w:br w:type="textWrapping"/>
      </w:r>
      <w:r>
        <w:rPr>
          <w:rFonts w:eastAsia="inter" w:cs="inter" w:ascii="inter" w:hAnsi="inter"/>
          <w:b/>
          <w:color w:val="000000"/>
        </w:rPr>
        <w:t xml:space="preserve">Constitutional Authority</w:t>
      </w:r>
      <w:r>
        <w:rPr>
          <w:rFonts w:eastAsia="inter" w:cs="inter" w:ascii="inter" w:hAnsi="inter"/>
          <w:color w:val="000000"/>
        </w:rPr>
        <w:t xml:space="preserve">: Derived from member consent and cooperative principles, enforceable through blockchain smart contracts, community governance, and compatible external legal frameworks</w:t>
      </w:r>
    </w:p>
    <w:p>
      <w:pPr>
        <w:spacing w:line="360" w:after="210" w:lineRule="auto"/>
      </w:pPr>
      <w:r>
        <w:rPr>
          <w:rFonts w:eastAsia="inter" w:cs="inter" w:ascii="inter" w:hAnsi="inter"/>
          <w:b/>
          <w:color w:val="000000"/>
        </w:rPr>
        <w:t xml:space="preserve">Version</w:t>
      </w:r>
      <w:r>
        <w:rPr>
          <w:rFonts w:eastAsia="inter" w:cs="inter" w:ascii="inter" w:hAnsi="inter"/>
          <w:color w:val="000000"/>
        </w:rPr>
        <w:t xml:space="preserve">: 2.0 (Revised for Multi-Asset Sovereignty and ISPO Integration)</w:t>
      </w:r>
      <w:r>
        <w:rPr>
          <w:rFonts w:eastAsia="inter" w:cs="inter" w:ascii="inter" w:hAnsi="inter"/>
          <w:color w:val="000000"/>
        </w:rPr>
        <w:br w:type="textWrapping"/>
      </w:r>
      <w:r>
        <w:rPr>
          <w:rFonts w:eastAsia="inter" w:cs="inter" w:ascii="inter" w:hAnsi="inter"/>
          <w:b/>
          <w:color w:val="000000"/>
        </w:rPr>
        <w:t xml:space="preserve">Last Updated</w:t>
      </w:r>
      <w:r>
        <w:rPr>
          <w:rFonts w:eastAsia="inter" w:cs="inter" w:ascii="inter" w:hAnsi="inter"/>
          <w:color w:val="000000"/>
        </w:rPr>
        <w:t xml:space="preserve">: September 7, 2025</w:t>
      </w:r>
      <w:r>
        <w:rPr>
          <w:rFonts w:eastAsia="inter" w:cs="inter" w:ascii="inter" w:hAnsi="inter"/>
          <w:color w:val="000000"/>
        </w:rPr>
        <w:br w:type="textWrapping"/>
      </w:r>
      <w:r>
        <w:rPr>
          <w:rFonts w:eastAsia="inter" w:cs="inter" w:ascii="inter" w:hAnsi="inter"/>
          <w:b/>
          <w:color w:val="000000"/>
        </w:rPr>
        <w:t xml:space="preserve">Key Additions</w:t>
      </w:r>
      <w:r>
        <w:rPr>
          <w:rFonts w:eastAsia="inter" w:cs="inter" w:ascii="inter" w:hAnsi="inter"/>
          <w:color w:val="000000"/>
        </w:rPr>
        <w:t xml:space="preserve">: Multi-asset vault rights, CONX universal payment protections, democratic ISPO governance, NFT productive utilization rights, blockchain-agnostic sovereignty guarantees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i/>
          <w:color w:val="000000"/>
        </w:rPr>
        <w:t xml:space="preserve">"In the future days, which we seek to make secure, we look forward to a world founded upon four essential human freedoms... This is no vision of a distant millennium. It is a definite basis for a kind of world attainable in our own time and generation."</w:t>
      </w:r>
      <w:r>
        <w:rPr>
          <w:rFonts w:eastAsia="inter" w:cs="inter" w:ascii="inter" w:hAnsi="inter"/>
          <w:color w:val="000000"/>
        </w:rPr>
        <w:t xml:space="preserve"> - Franklin D. Roosevelt, 1941</w:t>
      </w:r>
    </w:p>
    <w:p>
      <w:pPr>
        <w:spacing w:line="360" w:after="210" w:lineRule="auto"/>
      </w:pPr>
      <w:r>
        <w:rPr>
          <w:rFonts w:eastAsia="inter" w:cs="inter" w:ascii="inter" w:hAnsi="inter"/>
          <w:i/>
          <w:color w:val="000000"/>
        </w:rPr>
        <w:t xml:space="preserve">"Human beings are the ONLY valid source for that moral authority. Human dignity demands that individuals be treated with respect no matter which system they interact with, face-to-face or online."</w:t>
      </w:r>
      <w:r>
        <w:rPr>
          <w:rFonts w:eastAsia="inter" w:cs="inter" w:ascii="inter" w:hAnsi="inter"/>
          <w:color w:val="000000"/>
        </w:rPr>
        <w:t xml:space="preserve"> - Christopher Allen, 2020</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2025-09-07T14:27:49.436Z</dcterms:created>
  <dcterms:modified xsi:type="dcterms:W3CDTF">2025-09-07T14:27:49.436Z</dcterms:modified>
</cp:coreProperties>
</file>