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Updated C3 Governance and MECO Framework</w:t>
      </w:r>
    </w:p>
    <w:p>
      <w:pPr>
        <w:spacing w:line="360" w:before="315" w:after="105" w:lineRule="auto"/>
        <w:ind w:left="-30"/>
        <w:jc w:val="left"/>
      </w:pPr>
      <w:r>
        <w:rPr>
          <w:rFonts w:eastAsia="inter" w:cs="inter" w:ascii="inter" w:hAnsi="inter"/>
          <w:b/>
          <w:color w:val="000000"/>
          <w:sz w:val="24"/>
        </w:rPr>
        <w:t xml:space="preserve">Enhanced Impact Quest-Impact Offer Process with Member Entity Companies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Revised Governance Flow</w:t>
      </w:r>
    </w:p>
    <w:p>
      <w:pPr>
        <w:spacing w:line="360" w:before="315" w:after="105" w:lineRule="auto"/>
        <w:ind w:left="-30"/>
        <w:jc w:val="left"/>
      </w:pPr>
      <w:r>
        <w:rPr>
          <w:rFonts w:eastAsia="inter" w:cs="inter" w:ascii="inter" w:hAnsi="inter"/>
          <w:b/>
          <w:color w:val="000000"/>
          <w:sz w:val="24"/>
        </w:rPr>
        <w:t xml:space="preserve">Impact Quest (IQ) Approval Process</w:t>
      </w:r>
    </w:p>
    <w:p>
      <w:pPr>
        <w:spacing w:line="360" w:after="210" w:lineRule="auto"/>
      </w:pPr>
      <w:r>
        <w:rPr>
          <w:rFonts w:eastAsia="inter" w:cs="inter" w:ascii="inter" w:hAnsi="inter"/>
          <w:b/>
          <w:color w:val="000000"/>
        </w:rPr>
        <w:t xml:space="preserve">Level 1: C3 Governance Approval</w:t>
      </w:r>
    </w:p>
    <w:p>
      <w:pPr>
        <w:numPr>
          <w:ilvl w:val="0"/>
          <w:numId w:val="1"/>
        </w:numPr>
        <w:spacing w:line="360" w:before="105" w:after="105" w:lineRule="auto"/>
      </w:pPr>
      <w:r>
        <w:rPr>
          <w:rFonts w:eastAsia="inter" w:cs="inter" w:ascii="inter" w:hAnsi="inter"/>
          <w:color w:val="000000"/>
          <w:sz w:val="21"/>
        </w:rPr>
        <w:t xml:space="preserve">Members submit </w:t>
      </w:r>
      <w:r>
        <w:rPr>
          <w:rFonts w:eastAsia="inter" w:cs="inter" w:ascii="inter" w:hAnsi="inter"/>
          <w:b/>
          <w:color w:val="000000"/>
          <w:sz w:val="21"/>
        </w:rPr>
        <w:t xml:space="preserve">Impact Quest (IQ)</w:t>
      </w:r>
      <w:r>
        <w:rPr>
          <w:rFonts w:eastAsia="inter" w:cs="inter" w:ascii="inter" w:hAnsi="inter"/>
          <w:color w:val="000000"/>
          <w:sz w:val="21"/>
        </w:rPr>
        <w:t xml:space="preserve"> proposals through Legislative Loop</w:t>
      </w:r>
    </w:p>
    <w:p>
      <w:pPr>
        <w:numPr>
          <w:ilvl w:val="0"/>
          <w:numId w:val="1"/>
        </w:numPr>
        <w:spacing w:line="360" w:before="105" w:after="105" w:lineRule="auto"/>
      </w:pPr>
      <w:r>
        <w:rPr>
          <w:rFonts w:eastAsia="inter" w:cs="inter" w:ascii="inter" w:hAnsi="inter"/>
          <w:color w:val="000000"/>
          <w:sz w:val="21"/>
        </w:rPr>
        <w:t xml:space="preserve">IQs are comprehensive initiatives requiring community-approved treasury budget allocation</w:t>
      </w:r>
    </w:p>
    <w:p>
      <w:pPr>
        <w:numPr>
          <w:ilvl w:val="0"/>
          <w:numId w:val="1"/>
        </w:numPr>
        <w:spacing w:line="360" w:before="105" w:after="105" w:lineRule="auto"/>
      </w:pPr>
      <w:r>
        <w:rPr>
          <w:rFonts w:eastAsia="inter" w:cs="inter" w:ascii="inter" w:hAnsi="inter"/>
          <w:color w:val="000000"/>
          <w:sz w:val="21"/>
        </w:rPr>
        <w:t xml:space="preserve">Requires democratic approval through 1-member-1-vote ratification process</w:t>
      </w:r>
    </w:p>
    <w:p>
      <w:pPr>
        <w:numPr>
          <w:ilvl w:val="0"/>
          <w:numId w:val="1"/>
        </w:numPr>
        <w:spacing w:line="360" w:before="105" w:after="105" w:lineRule="auto"/>
      </w:pPr>
      <w:r>
        <w:rPr>
          <w:rFonts w:eastAsia="inter" w:cs="inter" w:ascii="inter" w:hAnsi="inter"/>
          <w:color w:val="000000"/>
          <w:sz w:val="21"/>
        </w:rPr>
        <w:t xml:space="preserve">Approved IQs receive dedicated budget allocation and become official community priorities</w:t>
      </w:r>
    </w:p>
    <w:p>
      <w:pPr>
        <w:numPr>
          <w:ilvl w:val="0"/>
          <w:numId w:val="1"/>
        </w:numPr>
        <w:spacing w:line="360" w:before="105" w:after="105" w:lineRule="auto"/>
      </w:pPr>
      <w:r>
        <w:rPr>
          <w:rFonts w:eastAsia="inter" w:cs="inter" w:ascii="inter" w:hAnsi="inter"/>
          <w:color w:val="000000"/>
          <w:sz w:val="21"/>
        </w:rPr>
        <w:t xml:space="preserve">Multiple </w:t>
      </w:r>
      <w:r>
        <w:rPr>
          <w:rFonts w:eastAsia="inter" w:cs="inter" w:ascii="inter" w:hAnsi="inter"/>
          <w:b/>
          <w:color w:val="000000"/>
          <w:sz w:val="21"/>
        </w:rPr>
        <w:t xml:space="preserve">Impact Offers (IOs)</w:t>
      </w:r>
      <w:r>
        <w:rPr>
          <w:rFonts w:eastAsia="inter" w:cs="inter" w:ascii="inter" w:hAnsi="inter"/>
          <w:color w:val="000000"/>
          <w:sz w:val="21"/>
        </w:rPr>
        <w:t xml:space="preserve"> can be created under each approved IQ umbrella</w:t>
      </w:r>
    </w:p>
    <w:p>
      <w:pPr>
        <w:spacing w:line="360" w:after="210" w:lineRule="auto"/>
      </w:pPr>
      <w:r>
        <w:rPr>
          <w:rFonts w:eastAsia="inter" w:cs="inter" w:ascii="inter" w:hAnsi="inter"/>
          <w:b/>
          <w:color w:val="000000"/>
        </w:rPr>
        <w:t xml:space="preserve">Level 2: Impact Offer (IO) Implementation</w:t>
      </w:r>
    </w:p>
    <w:p>
      <w:pPr>
        <w:numPr>
          <w:ilvl w:val="0"/>
          <w:numId w:val="2"/>
        </w:numPr>
        <w:spacing w:line="360" w:before="105" w:after="105" w:lineRule="auto"/>
      </w:pPr>
      <w:r>
        <w:rPr>
          <w:rFonts w:eastAsia="inter" w:cs="inter" w:ascii="inter" w:hAnsi="inter"/>
          <w:color w:val="000000"/>
          <w:sz w:val="21"/>
        </w:rPr>
        <w:t xml:space="preserve">Approved IQs generate specific </w:t>
      </w:r>
      <w:r>
        <w:rPr>
          <w:rFonts w:eastAsia="inter" w:cs="inter" w:ascii="inter" w:hAnsi="inter"/>
          <w:b/>
          <w:color w:val="000000"/>
          <w:sz w:val="21"/>
        </w:rPr>
        <w:t xml:space="preserve">Impact Offers (IOs)</w:t>
      </w:r>
      <w:r>
        <w:rPr>
          <w:rFonts w:eastAsia="inter" w:cs="inter" w:ascii="inter" w:hAnsi="inter"/>
          <w:color w:val="000000"/>
          <w:sz w:val="21"/>
        </w:rPr>
        <w:t xml:space="preserve"> - discrete service contracts within the broader initiative</w:t>
      </w:r>
    </w:p>
    <w:p>
      <w:pPr>
        <w:numPr>
          <w:ilvl w:val="0"/>
          <w:numId w:val="2"/>
        </w:numPr>
        <w:spacing w:line="360" w:before="105" w:after="105" w:lineRule="auto"/>
      </w:pPr>
      <w:r>
        <w:rPr>
          <w:rFonts w:eastAsia="inter" w:cs="inter" w:ascii="inter" w:hAnsi="inter"/>
          <w:color w:val="000000"/>
          <w:sz w:val="21"/>
        </w:rPr>
        <w:t xml:space="preserve">IOs are posted to </w:t>
      </w:r>
      <w:r>
        <w:rPr>
          <w:rFonts w:eastAsia="inter" w:cs="inter" w:ascii="inter" w:hAnsi="inter"/>
          <w:b/>
          <w:color w:val="000000"/>
          <w:sz w:val="21"/>
        </w:rPr>
        <w:t xml:space="preserve">CapX marketplace</w:t>
      </w:r>
      <w:r>
        <w:rPr>
          <w:rFonts w:eastAsia="inter" w:cs="inter" w:ascii="inter" w:hAnsi="inter"/>
          <w:color w:val="000000"/>
          <w:sz w:val="21"/>
        </w:rPr>
        <w:t xml:space="preserve"> for competitive bidding by MECOs</w:t>
      </w:r>
    </w:p>
    <w:p>
      <w:pPr>
        <w:numPr>
          <w:ilvl w:val="0"/>
          <w:numId w:val="2"/>
        </w:numPr>
        <w:spacing w:line="360" w:before="105" w:after="105" w:lineRule="auto"/>
      </w:pPr>
      <w:r>
        <w:rPr>
          <w:rFonts w:eastAsia="inter" w:cs="inter" w:ascii="inter" w:hAnsi="inter"/>
          <w:color w:val="000000"/>
          <w:sz w:val="21"/>
        </w:rPr>
        <w:t xml:space="preserve">Each IO specifies deliverables, timeline, compensation in JULZ, and PPT rewards by faction type</w:t>
      </w:r>
    </w:p>
    <w:p>
      <w:pPr>
        <w:numPr>
          <w:ilvl w:val="0"/>
          <w:numId w:val="2"/>
        </w:numPr>
        <w:spacing w:line="360" w:before="105" w:after="105" w:lineRule="auto"/>
      </w:pPr>
      <w:r>
        <w:rPr>
          <w:rFonts w:eastAsia="inter" w:cs="inter" w:ascii="inter" w:hAnsi="inter"/>
          <w:color w:val="000000"/>
          <w:sz w:val="21"/>
        </w:rPr>
        <w:t xml:space="preserve">MECOs bid on IOs individually or in consortium arrangements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MECO: Member Entity Companies</w:t>
      </w:r>
    </w:p>
    <w:p>
      <w:pPr>
        <w:spacing w:line="360" w:before="315" w:after="105" w:lineRule="auto"/>
        <w:ind w:left="-30"/>
        <w:jc w:val="left"/>
      </w:pPr>
      <w:r>
        <w:rPr>
          <w:rFonts w:eastAsia="inter" w:cs="inter" w:ascii="inter" w:hAnsi="inter"/>
          <w:b/>
          <w:color w:val="000000"/>
          <w:sz w:val="24"/>
        </w:rPr>
        <w:t xml:space="preserve">Legal Structure</w:t>
      </w:r>
    </w:p>
    <w:p>
      <w:pPr>
        <w:spacing w:line="360" w:after="210" w:lineRule="auto"/>
      </w:pPr>
      <w:r>
        <w:rPr>
          <w:rFonts w:eastAsia="inter" w:cs="inter" w:ascii="inter" w:hAnsi="inter"/>
          <w:b/>
          <w:color w:val="000000"/>
        </w:rPr>
        <w:t xml:space="preserve">Entity Type</w:t>
      </w:r>
      <w:r>
        <w:rPr>
          <w:rFonts w:eastAsia="inter" w:cs="inter" w:ascii="inter" w:hAnsi="inter"/>
          <w:color w:val="000000"/>
        </w:rPr>
        <w:t xml:space="preserve">: Multi-member management Wyoming DAO LLC[10][84][86]</w:t>
      </w:r>
    </w:p>
    <w:p>
      <w:pPr>
        <w:numPr>
          <w:ilvl w:val="0"/>
          <w:numId w:val="3"/>
        </w:numPr>
        <w:spacing w:line="360" w:before="105" w:after="105" w:lineRule="auto"/>
      </w:pPr>
      <w:r>
        <w:rPr>
          <w:rFonts w:eastAsia="inter" w:cs="inter" w:ascii="inter" w:hAnsi="inter"/>
          <w:color w:val="000000"/>
          <w:sz w:val="21"/>
        </w:rPr>
        <w:t xml:space="preserve">Each MECO is a legally distinct entity separate from individual MEIDs and the C3 itself</w:t>
      </w:r>
    </w:p>
    <w:p>
      <w:pPr>
        <w:numPr>
          <w:ilvl w:val="0"/>
          <w:numId w:val="3"/>
        </w:numPr>
        <w:spacing w:line="360" w:before="105" w:after="105" w:lineRule="auto"/>
      </w:pPr>
      <w:r>
        <w:rPr>
          <w:rFonts w:eastAsia="inter" w:cs="inter" w:ascii="inter" w:hAnsi="inter"/>
          <w:color w:val="000000"/>
          <w:sz w:val="21"/>
        </w:rPr>
        <w:t xml:space="preserve">Structured as multi-member management rather than single-member to enable collaborative business formation[84]</w:t>
      </w:r>
    </w:p>
    <w:p>
      <w:pPr>
        <w:numPr>
          <w:ilvl w:val="0"/>
          <w:numId w:val="3"/>
        </w:numPr>
        <w:spacing w:line="360" w:before="105" w:after="105" w:lineRule="auto"/>
      </w:pPr>
      <w:r>
        <w:rPr>
          <w:rFonts w:eastAsia="inter" w:cs="inter" w:ascii="inter" w:hAnsi="inter"/>
          <w:color w:val="000000"/>
          <w:sz w:val="21"/>
        </w:rPr>
        <w:t xml:space="preserve">Incorporates DAO-specific language in Articles of Organization as required by Wyoming statute[10][85]</w:t>
      </w:r>
    </w:p>
    <w:p>
      <w:pPr>
        <w:numPr>
          <w:ilvl w:val="0"/>
          <w:numId w:val="3"/>
        </w:numPr>
        <w:spacing w:line="360" w:before="105" w:after="105" w:lineRule="auto"/>
      </w:pPr>
      <w:r>
        <w:rPr>
          <w:rFonts w:eastAsia="inter" w:cs="inter" w:ascii="inter" w:hAnsi="inter"/>
          <w:color w:val="000000"/>
          <w:sz w:val="21"/>
        </w:rPr>
        <w:t xml:space="preserve">Operating Agreement bridges blockchain governance with legal compliance requirements[86][89]</w:t>
      </w:r>
    </w:p>
    <w:p>
      <w:pPr>
        <w:spacing w:line="360" w:before="315" w:after="105" w:lineRule="auto"/>
        <w:ind w:left="-30"/>
        <w:jc w:val="left"/>
      </w:pPr>
      <w:r>
        <w:rPr>
          <w:rFonts w:eastAsia="inter" w:cs="inter" w:ascii="inter" w:hAnsi="inter"/>
          <w:b/>
          <w:color w:val="000000"/>
          <w:sz w:val="24"/>
        </w:rPr>
        <w:t xml:space="preserve">Formation Requirements</w:t>
      </w:r>
    </w:p>
    <w:p>
      <w:pPr>
        <w:spacing w:line="360" w:after="210" w:lineRule="auto"/>
      </w:pPr>
      <w:r>
        <w:rPr>
          <w:rFonts w:eastAsia="inter" w:cs="inter" w:ascii="inter" w:hAnsi="inter"/>
          <w:b/>
          <w:color w:val="000000"/>
        </w:rPr>
        <w:t xml:space="preserve">Founding Members</w:t>
      </w:r>
      <w:r>
        <w:rPr>
          <w:rFonts w:eastAsia="inter" w:cs="inter" w:ascii="inter" w:hAnsi="inter"/>
          <w:color w:val="000000"/>
        </w:rPr>
        <w:t xml:space="preserve">: Minimum 2 MEID holders required for multi-member structure[84]</w:t>
      </w:r>
    </w:p>
    <w:p>
      <w:pPr>
        <w:numPr>
          <w:ilvl w:val="0"/>
          <w:numId w:val="4"/>
        </w:numPr>
        <w:spacing w:line="360" w:before="105" w:after="105" w:lineRule="auto"/>
      </w:pPr>
      <w:r>
        <w:rPr>
          <w:rFonts w:eastAsia="inter" w:cs="inter" w:ascii="inter" w:hAnsi="inter"/>
          <w:color w:val="000000"/>
          <w:sz w:val="21"/>
        </w:rPr>
        <w:t xml:space="preserve">Each founding member contributes their MEID as cryptographic proof of identity and C3 membership</w:t>
      </w:r>
    </w:p>
    <w:p>
      <w:pPr>
        <w:numPr>
          <w:ilvl w:val="0"/>
          <w:numId w:val="4"/>
        </w:numPr>
        <w:spacing w:line="360" w:before="105" w:after="105" w:lineRule="auto"/>
      </w:pPr>
      <w:r>
        <w:rPr>
          <w:rFonts w:eastAsia="inter" w:cs="inter" w:ascii="inter" w:hAnsi="inter"/>
          <w:color w:val="000000"/>
          <w:sz w:val="21"/>
        </w:rPr>
        <w:t xml:space="preserve">Founding MEIDs become multisig wallet signers with proportional control based on contribution agreements</w:t>
      </w:r>
    </w:p>
    <w:p>
      <w:pPr>
        <w:numPr>
          <w:ilvl w:val="0"/>
          <w:numId w:val="4"/>
        </w:numPr>
        <w:spacing w:line="360" w:before="105" w:after="105" w:lineRule="auto"/>
      </w:pPr>
      <w:r>
        <w:rPr>
          <w:rFonts w:eastAsia="inter" w:cs="inter" w:ascii="inter" w:hAnsi="inter"/>
          <w:color w:val="000000"/>
          <w:sz w:val="21"/>
        </w:rPr>
        <w:t xml:space="preserve">All founding members must complete enhanced KYC/AML verification for business entity formation[10]</w:t>
      </w:r>
    </w:p>
    <w:p>
      <w:pPr>
        <w:numPr>
          <w:ilvl w:val="0"/>
          <w:numId w:val="4"/>
        </w:numPr>
        <w:spacing w:line="360" w:before="105" w:after="105" w:lineRule="auto"/>
      </w:pPr>
      <w:r>
        <w:rPr>
          <w:rFonts w:eastAsia="inter" w:cs="inter" w:ascii="inter" w:hAnsi="inter"/>
          <w:color w:val="000000"/>
          <w:sz w:val="21"/>
        </w:rPr>
        <w:t xml:space="preserve">Corporate Transparency Act compliance requires beneficial ownership disclosure to FinCEN[10]</w:t>
      </w:r>
    </w:p>
    <w:p>
      <w:pPr>
        <w:spacing w:line="360" w:after="210" w:lineRule="auto"/>
      </w:pPr>
      <w:r>
        <w:rPr>
          <w:rFonts w:eastAsia="inter" w:cs="inter" w:ascii="inter" w:hAnsi="inter"/>
          <w:b/>
          <w:color w:val="000000"/>
        </w:rPr>
        <w:t xml:space="preserve">Multisig Wallet Architecture</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color w:val="000000"/>
          <w:sz w:val="21"/>
        </w:rPr>
        <w:t xml:space="preserve">MECO operates through multisig wallet controlled by founding MEID private keys</w:t>
      </w:r>
    </w:p>
    <w:p>
      <w:pPr>
        <w:numPr>
          <w:ilvl w:val="0"/>
          <w:numId w:val="5"/>
        </w:numPr>
        <w:spacing w:line="360" w:before="105" w:after="105" w:lineRule="auto"/>
      </w:pPr>
      <w:r>
        <w:rPr>
          <w:rFonts w:eastAsia="inter" w:cs="inter" w:ascii="inter" w:hAnsi="inter"/>
          <w:color w:val="000000"/>
          <w:sz w:val="21"/>
        </w:rPr>
        <w:t xml:space="preserve">Threshold signatures (e.g., 2-of-3, 3-of-5) determined by founding members during formation</w:t>
      </w:r>
    </w:p>
    <w:p>
      <w:pPr>
        <w:numPr>
          <w:ilvl w:val="0"/>
          <w:numId w:val="5"/>
        </w:numPr>
        <w:spacing w:line="360" w:before="105" w:after="105" w:lineRule="auto"/>
      </w:pPr>
      <w:r>
        <w:rPr>
          <w:rFonts w:eastAsia="inter" w:cs="inter" w:ascii="inter" w:hAnsi="inter"/>
          <w:color w:val="000000"/>
          <w:sz w:val="21"/>
        </w:rPr>
        <w:t xml:space="preserve">All MECO transactions require consensus among founding members according to operating agreement</w:t>
      </w:r>
    </w:p>
    <w:p>
      <w:pPr>
        <w:numPr>
          <w:ilvl w:val="0"/>
          <w:numId w:val="5"/>
        </w:numPr>
        <w:spacing w:line="360" w:before="105" w:after="105" w:lineRule="auto"/>
      </w:pPr>
      <w:r>
        <w:rPr>
          <w:rFonts w:eastAsia="inter" w:cs="inter" w:ascii="inter" w:hAnsi="inter"/>
          <w:color w:val="000000"/>
          <w:sz w:val="21"/>
        </w:rPr>
        <w:t xml:space="preserve">Integration with Lace wallet infrastructure for seamless C3 ecosystem interaction[2]</w:t>
      </w:r>
    </w:p>
    <w:p>
      <w:pPr>
        <w:spacing w:line="360" w:before="315" w:after="105" w:lineRule="auto"/>
        <w:ind w:left="-30"/>
        <w:jc w:val="left"/>
      </w:pPr>
      <w:r>
        <w:rPr>
          <w:rFonts w:eastAsia="inter" w:cs="inter" w:ascii="inter" w:hAnsi="inter"/>
          <w:b/>
          <w:color w:val="000000"/>
          <w:sz w:val="24"/>
        </w:rPr>
        <w:t xml:space="preserve">Identity and Compliance Framework</w:t>
      </w:r>
    </w:p>
    <w:p>
      <w:pPr>
        <w:spacing w:line="360" w:after="210" w:lineRule="auto"/>
      </w:pPr>
      <w:r>
        <w:rPr>
          <w:rFonts w:eastAsia="inter" w:cs="inter" w:ascii="inter" w:hAnsi="inter"/>
          <w:b/>
          <w:color w:val="000000"/>
        </w:rPr>
        <w:t xml:space="preserve">MECO DID (Decentralized Identifier)</w:t>
      </w:r>
      <w:r>
        <w:rPr>
          <w:rFonts w:eastAsia="inter" w:cs="inter" w:ascii="inter" w:hAnsi="inter"/>
          <w:color w:val="000000"/>
        </w:rPr>
        <w:t xml:space="preserve">[88][91][94]:</w:t>
      </w:r>
    </w:p>
    <w:p>
      <w:pPr>
        <w:numPr>
          <w:ilvl w:val="0"/>
          <w:numId w:val="6"/>
        </w:numPr>
        <w:spacing w:line="360" w:before="105" w:after="105" w:lineRule="auto"/>
      </w:pPr>
      <w:r>
        <w:rPr>
          <w:rFonts w:eastAsia="inter" w:cs="inter" w:ascii="inter" w:hAnsi="inter"/>
          <w:color w:val="000000"/>
          <w:sz w:val="21"/>
        </w:rPr>
        <w:t xml:space="preserve">Each MECO receives unique DID for blockchain-based business identity[88][91]</w:t>
      </w:r>
    </w:p>
    <w:p>
      <w:pPr>
        <w:numPr>
          <w:ilvl w:val="0"/>
          <w:numId w:val="6"/>
        </w:numPr>
        <w:spacing w:line="360" w:before="105" w:after="105" w:lineRule="auto"/>
      </w:pPr>
      <w:r>
        <w:rPr>
          <w:rFonts w:eastAsia="inter" w:cs="inter" w:ascii="inter" w:hAnsi="inter"/>
          <w:color w:val="000000"/>
          <w:sz w:val="21"/>
        </w:rPr>
        <w:t xml:space="preserve">DID enables verifiable, decentralized business identity without central authority dependency[91]</w:t>
      </w:r>
    </w:p>
    <w:p>
      <w:pPr>
        <w:numPr>
          <w:ilvl w:val="0"/>
          <w:numId w:val="6"/>
        </w:numPr>
        <w:spacing w:line="360" w:before="105" w:after="105" w:lineRule="auto"/>
      </w:pPr>
      <w:r>
        <w:rPr>
          <w:rFonts w:eastAsia="inter" w:cs="inter" w:ascii="inter" w:hAnsi="inter"/>
          <w:color w:val="000000"/>
          <w:sz w:val="21"/>
        </w:rPr>
        <w:t xml:space="preserve">Cryptographic proof capabilities for contract signing and business verification[88][94]</w:t>
      </w:r>
    </w:p>
    <w:p>
      <w:pPr>
        <w:numPr>
          <w:ilvl w:val="0"/>
          <w:numId w:val="6"/>
        </w:numPr>
        <w:spacing w:line="360" w:before="105" w:after="105" w:lineRule="auto"/>
      </w:pPr>
      <w:r>
        <w:rPr>
          <w:rFonts w:eastAsia="inter" w:cs="inter" w:ascii="inter" w:hAnsi="inter"/>
          <w:color w:val="000000"/>
          <w:sz w:val="21"/>
        </w:rPr>
        <w:t xml:space="preserve">Interoperable across Cardano sidechains and external business systems[91]</w:t>
      </w:r>
    </w:p>
    <w:p>
      <w:pPr>
        <w:spacing w:line="360" w:after="210" w:lineRule="auto"/>
      </w:pPr>
      <w:r>
        <w:rPr>
          <w:rFonts w:eastAsia="inter" w:cs="inter" w:ascii="inter" w:hAnsi="inter"/>
          <w:b/>
          <w:color w:val="000000"/>
        </w:rPr>
        <w:t xml:space="preserve">Tax Identification Numbers (TIN)</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b/>
          <w:color w:val="000000"/>
          <w:sz w:val="21"/>
        </w:rPr>
        <w:t xml:space="preserve">US Operations</w:t>
      </w:r>
      <w:r>
        <w:rPr>
          <w:rFonts w:eastAsia="inter" w:cs="inter" w:ascii="inter" w:hAnsi="inter"/>
          <w:color w:val="000000"/>
          <w:sz w:val="21"/>
        </w:rPr>
        <w:t xml:space="preserve">: EIN (Employer Identification Number) obtained from IRS for federal tax compliance</w:t>
      </w:r>
    </w:p>
    <w:p>
      <w:pPr>
        <w:numPr>
          <w:ilvl w:val="0"/>
          <w:numId w:val="7"/>
        </w:numPr>
        <w:spacing w:line="360" w:before="105" w:after="105" w:lineRule="auto"/>
      </w:pPr>
      <w:r>
        <w:rPr>
          <w:rFonts w:eastAsia="inter" w:cs="inter" w:ascii="inter" w:hAnsi="inter"/>
          <w:b/>
          <w:color w:val="000000"/>
          <w:sz w:val="21"/>
        </w:rPr>
        <w:t xml:space="preserve">International Operations</w:t>
      </w:r>
      <w:r>
        <w:rPr>
          <w:rFonts w:eastAsia="inter" w:cs="inter" w:ascii="inter" w:hAnsi="inter"/>
          <w:color w:val="000000"/>
          <w:sz w:val="21"/>
        </w:rPr>
        <w:t xml:space="preserve">: Appropriate TIN registration in jurisdictions where MECO conducts business</w:t>
      </w:r>
    </w:p>
    <w:p>
      <w:pPr>
        <w:numPr>
          <w:ilvl w:val="0"/>
          <w:numId w:val="7"/>
        </w:numPr>
        <w:spacing w:line="360" w:before="105" w:after="105" w:lineRule="auto"/>
      </w:pPr>
      <w:r>
        <w:rPr>
          <w:rFonts w:eastAsia="inter" w:cs="inter" w:ascii="inter" w:hAnsi="inter"/>
          <w:color w:val="000000"/>
          <w:sz w:val="21"/>
        </w:rPr>
        <w:t xml:space="preserve">Enables traditional business interactions while maintaining blockchain-native operations</w:t>
      </w:r>
    </w:p>
    <w:p>
      <w:pPr>
        <w:numPr>
          <w:ilvl w:val="0"/>
          <w:numId w:val="7"/>
        </w:numPr>
        <w:spacing w:line="360" w:before="105" w:after="105" w:lineRule="auto"/>
      </w:pPr>
      <w:r>
        <w:rPr>
          <w:rFonts w:eastAsia="inter" w:cs="inter" w:ascii="inter" w:hAnsi="inter"/>
          <w:color w:val="000000"/>
          <w:sz w:val="21"/>
        </w:rPr>
        <w:t xml:space="preserve">Required for banking relationships, vendor payments, and regulatory compliance</w:t>
      </w:r>
    </w:p>
    <w:p>
      <w:pPr>
        <w:spacing w:line="360" w:after="210" w:lineRule="auto"/>
      </w:pPr>
      <w:r>
        <w:rPr>
          <w:rFonts w:eastAsia="inter" w:cs="inter" w:ascii="inter" w:hAnsi="inter"/>
          <w:b/>
          <w:color w:val="000000"/>
        </w:rPr>
        <w:t xml:space="preserve">Constitutional Privacy Protections</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color w:val="000000"/>
          <w:sz w:val="21"/>
        </w:rPr>
        <w:t xml:space="preserve">Founding member PII protected through </w:t>
      </w:r>
      <w:r>
        <w:rPr>
          <w:rFonts w:eastAsia="inter" w:cs="inter" w:ascii="inter" w:hAnsi="inter"/>
          <w:b/>
          <w:color w:val="000000"/>
          <w:sz w:val="21"/>
        </w:rPr>
        <w:t xml:space="preserve">selective disclosure protocols</w:t>
      </w:r>
      <w:r>
        <w:rPr>
          <w:rFonts w:eastAsia="inter" w:cs="inter" w:ascii="inter" w:hAnsi="inter"/>
          <w:color w:val="000000"/>
          <w:sz w:val="21"/>
        </w:rPr>
        <w:t xml:space="preserve"> in C3 Constitution</w:t>
      </w:r>
    </w:p>
    <w:p>
      <w:pPr>
        <w:numPr>
          <w:ilvl w:val="0"/>
          <w:numId w:val="8"/>
        </w:numPr>
        <w:spacing w:line="360" w:before="105" w:after="105" w:lineRule="auto"/>
      </w:pPr>
      <w:r>
        <w:rPr>
          <w:rFonts w:eastAsia="inter" w:cs="inter" w:ascii="inter" w:hAnsi="inter"/>
          <w:color w:val="000000"/>
          <w:sz w:val="21"/>
        </w:rPr>
        <w:t xml:space="preserve">Only minimum necessary information disclosed for legal compliance requirements</w:t>
      </w:r>
    </w:p>
    <w:p>
      <w:pPr>
        <w:numPr>
          <w:ilvl w:val="0"/>
          <w:numId w:val="8"/>
        </w:numPr>
        <w:spacing w:line="360" w:before="105" w:after="105" w:lineRule="auto"/>
      </w:pPr>
      <w:r>
        <w:rPr>
          <w:rFonts w:eastAsia="inter" w:cs="inter" w:ascii="inter" w:hAnsi="inter"/>
          <w:color w:val="000000"/>
          <w:sz w:val="21"/>
        </w:rPr>
        <w:t xml:space="preserve">Midnight Network programmable privacy enables granular control over business data sharing[9][12]</w:t>
      </w:r>
    </w:p>
    <w:p>
      <w:pPr>
        <w:numPr>
          <w:ilvl w:val="0"/>
          <w:numId w:val="8"/>
        </w:numPr>
        <w:spacing w:line="360" w:before="105" w:after="105" w:lineRule="auto"/>
      </w:pPr>
      <w:r>
        <w:rPr>
          <w:rFonts w:eastAsia="inter" w:cs="inter" w:ascii="inter" w:hAnsi="inter"/>
          <w:color w:val="000000"/>
          <w:sz w:val="21"/>
        </w:rPr>
        <w:t xml:space="preserve">Member identity verification maintained through cryptographic proofs rather than public disclosure[68][74]</w:t>
      </w:r>
    </w:p>
    <w:p>
      <w:pPr>
        <w:spacing w:line="360" w:before="315" w:after="105" w:lineRule="auto"/>
        <w:ind w:left="-30"/>
        <w:jc w:val="left"/>
      </w:pPr>
      <w:r>
        <w:rPr>
          <w:rFonts w:eastAsia="inter" w:cs="inter" w:ascii="inter" w:hAnsi="inter"/>
          <w:b/>
          <w:color w:val="000000"/>
          <w:sz w:val="24"/>
        </w:rPr>
        <w:t xml:space="preserve">Founder Incentive Structure</w:t>
      </w:r>
    </w:p>
    <w:p>
      <w:pPr>
        <w:spacing w:line="360" w:after="210" w:lineRule="auto"/>
      </w:pPr>
      <w:r>
        <w:rPr>
          <w:rFonts w:eastAsia="inter" w:cs="inter" w:ascii="inter" w:hAnsi="inter"/>
          <w:b/>
          <w:color w:val="000000"/>
        </w:rPr>
        <w:t xml:space="preserve">Founders Bonus Eligibility</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Founding MECO members eligible for enhanced compensation recognizing entrepreneurial risk and leadership:</w:t>
      </w:r>
    </w:p>
    <w:p>
      <w:pPr>
        <w:spacing w:line="360" w:after="210" w:lineRule="auto"/>
      </w:pPr>
      <w:r>
        <w:rPr>
          <w:rFonts w:eastAsia="inter" w:cs="inter" w:ascii="inter" w:hAnsi="inter"/>
          <w:b/>
          <w:color w:val="000000"/>
        </w:rPr>
        <w:t xml:space="preserve">Leadership Premium</w:t>
      </w:r>
      <w:r>
        <w:rPr>
          <w:rFonts w:eastAsia="inter" w:cs="inter" w:ascii="inter" w:hAnsi="inter"/>
          <w:color w:val="000000"/>
        </w:rPr>
        <w:t xml:space="preserve">: Additional 15-25% compensation multiplier for MECO management responsibilities</w:t>
      </w:r>
      <w:r>
        <w:rPr>
          <w:rFonts w:eastAsia="inter" w:cs="inter" w:ascii="inter" w:hAnsi="inter"/>
          <w:color w:val="000000"/>
        </w:rPr>
        <w:br w:type="textWrapping"/>
      </w:r>
      <w:r>
        <w:rPr>
          <w:rFonts w:eastAsia="inter" w:cs="inter" w:ascii="inter" w:hAnsi="inter"/>
          <w:b/>
          <w:color w:val="000000"/>
        </w:rPr>
        <w:t xml:space="preserve">Decision-Making Rewards</w:t>
      </w:r>
      <w:r>
        <w:rPr>
          <w:rFonts w:eastAsia="inter" w:cs="inter" w:ascii="inter" w:hAnsi="inter"/>
          <w:color w:val="000000"/>
        </w:rPr>
        <w:t xml:space="preserve">: PPT bonuses for strategic decisions, partnership negotiations, and business development</w:t>
      </w:r>
      <w:r>
        <w:rPr>
          <w:rFonts w:eastAsia="inter" w:cs="inter" w:ascii="inter" w:hAnsi="inter"/>
          <w:color w:val="000000"/>
        </w:rPr>
        <w:br w:type="textWrapping"/>
      </w:r>
      <w:r>
        <w:rPr>
          <w:rFonts w:eastAsia="inter" w:cs="inter" w:ascii="inter" w:hAnsi="inter"/>
          <w:b/>
          <w:color w:val="000000"/>
        </w:rPr>
        <w:t xml:space="preserve">Intellectual Property Rights</w:t>
      </w:r>
      <w:r>
        <w:rPr>
          <w:rFonts w:eastAsia="inter" w:cs="inter" w:ascii="inter" w:hAnsi="inter"/>
          <w:color w:val="000000"/>
        </w:rPr>
        <w:t xml:space="preserve">: Shared ownership of MECO-developed innovations, methodologies, and trade secrets</w:t>
      </w:r>
      <w:r>
        <w:rPr>
          <w:rFonts w:eastAsia="inter" w:cs="inter" w:ascii="inter" w:hAnsi="inter"/>
          <w:color w:val="000000"/>
        </w:rPr>
        <w:br w:type="textWrapping"/>
      </w:r>
      <w:r>
        <w:rPr>
          <w:rFonts w:eastAsia="inter" w:cs="inter" w:ascii="inter" w:hAnsi="inter"/>
          <w:b/>
          <w:color w:val="000000"/>
        </w:rPr>
        <w:t xml:space="preserve">Sweat Equity Recognition</w:t>
      </w:r>
      <w:r>
        <w:rPr>
          <w:rFonts w:eastAsia="inter" w:cs="inter" w:ascii="inter" w:hAnsi="inter"/>
          <w:color w:val="000000"/>
        </w:rPr>
        <w:t xml:space="preserve">: Retroactive PPT allocation for pre-revenue contribution periods during MECO establishment</w:t>
      </w:r>
    </w:p>
    <w:p>
      <w:pPr>
        <w:spacing w:line="360" w:after="210" w:lineRule="auto"/>
      </w:pPr>
      <w:r>
        <w:rPr>
          <w:rFonts w:eastAsia="inter" w:cs="inter" w:ascii="inter" w:hAnsi="inter"/>
          <w:b/>
          <w:color w:val="000000"/>
        </w:rPr>
        <w:t xml:space="preserve">Founders Reserve Participation</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Reserve Pool</w:t>
      </w:r>
      <w:r>
        <w:rPr>
          <w:rFonts w:eastAsia="inter" w:cs="inter" w:ascii="inter" w:hAnsi="inter"/>
          <w:color w:val="000000"/>
          <w:sz w:val="21"/>
        </w:rPr>
        <w:t xml:space="preserve">: 5-15% of MECO net revenue allocated to Founders Reserve Fund (negotiable during formation)</w:t>
      </w:r>
    </w:p>
    <w:p>
      <w:pPr>
        <w:numPr>
          <w:ilvl w:val="0"/>
          <w:numId w:val="9"/>
        </w:numPr>
        <w:spacing w:line="360" w:before="105" w:after="105" w:lineRule="auto"/>
      </w:pPr>
      <w:r>
        <w:rPr>
          <w:rFonts w:eastAsia="inter" w:cs="inter" w:ascii="inter" w:hAnsi="inter"/>
          <w:b/>
          <w:color w:val="000000"/>
          <w:sz w:val="21"/>
        </w:rPr>
        <w:t xml:space="preserve">Proportional Distribution</w:t>
      </w:r>
      <w:r>
        <w:rPr>
          <w:rFonts w:eastAsia="inter" w:cs="inter" w:ascii="inter" w:hAnsi="inter"/>
          <w:color w:val="000000"/>
          <w:sz w:val="21"/>
        </w:rPr>
        <w:t xml:space="preserve">: Reserve allocation based on founding contribution ratios and ongoing management participation</w:t>
      </w:r>
    </w:p>
    <w:p>
      <w:pPr>
        <w:numPr>
          <w:ilvl w:val="0"/>
          <w:numId w:val="9"/>
        </w:numPr>
        <w:spacing w:line="360" w:before="105" w:after="105" w:lineRule="auto"/>
      </w:pPr>
      <w:r>
        <w:rPr>
          <w:rFonts w:eastAsia="inter" w:cs="inter" w:ascii="inter" w:hAnsi="inter"/>
          <w:b/>
          <w:color w:val="000000"/>
          <w:sz w:val="21"/>
        </w:rPr>
        <w:t xml:space="preserve">Vesting Schedule</w:t>
      </w:r>
      <w:r>
        <w:rPr>
          <w:rFonts w:eastAsia="inter" w:cs="inter" w:ascii="inter" w:hAnsi="inter"/>
          <w:color w:val="000000"/>
          <w:sz w:val="21"/>
        </w:rPr>
        <w:t xml:space="preserve">: Multi-year vesting to incentivize long-term MECO sustainability and member retention</w:t>
      </w:r>
    </w:p>
    <w:p>
      <w:pPr>
        <w:numPr>
          <w:ilvl w:val="0"/>
          <w:numId w:val="9"/>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Reserve distribution tied to MECO delivery quality, client satisfaction, and community benefit measures</w:t>
      </w:r>
    </w:p>
    <w:p>
      <w:pPr>
        <w:spacing w:line="360" w:before="315" w:after="105" w:lineRule="auto"/>
        <w:ind w:left="-30"/>
        <w:jc w:val="left"/>
      </w:pPr>
      <w:r>
        <w:rPr>
          <w:rFonts w:eastAsia="inter" w:cs="inter" w:ascii="inter" w:hAnsi="inter"/>
          <w:b/>
          <w:color w:val="000000"/>
          <w:sz w:val="24"/>
        </w:rPr>
        <w:t xml:space="preserve">MECO-C3 Interaction Framework</w:t>
      </w:r>
    </w:p>
    <w:p>
      <w:pPr>
        <w:spacing w:line="360" w:after="210" w:lineRule="auto"/>
      </w:pPr>
      <w:r>
        <w:rPr>
          <w:rFonts w:eastAsia="inter" w:cs="inter" w:ascii="inter" w:hAnsi="inter"/>
          <w:b/>
          <w:color w:val="000000"/>
        </w:rPr>
        <w:t xml:space="preserve">Bidding Process</w:t>
      </w:r>
      <w:r>
        <w:rPr>
          <w:rFonts w:eastAsia="inter" w:cs="inter" w:ascii="inter" w:hAnsi="inter"/>
          <w:color w:val="000000"/>
        </w:rPr>
        <w:t xml:space="preserve">:</w:t>
      </w:r>
    </w:p>
    <w:p>
      <w:pPr>
        <w:numPr>
          <w:ilvl w:val="0"/>
          <w:numId w:val="10"/>
        </w:numPr>
        <w:spacing w:line="360" w:before="105" w:after="105" w:lineRule="auto"/>
      </w:pPr>
      <w:r>
        <w:rPr>
          <w:rFonts w:eastAsia="inter" w:cs="inter" w:ascii="inter" w:hAnsi="inter"/>
          <w:b/>
          <w:color w:val="000000"/>
          <w:sz w:val="21"/>
        </w:rPr>
        <w:t xml:space="preserve">IQ Approval</w:t>
      </w:r>
      <w:r>
        <w:rPr>
          <w:rFonts w:eastAsia="inter" w:cs="inter" w:ascii="inter" w:hAnsi="inter"/>
          <w:color w:val="000000"/>
          <w:sz w:val="21"/>
        </w:rPr>
        <w:t xml:space="preserve">: C3 governance approves Impact Quest with budget allocation</w:t>
      </w:r>
    </w:p>
    <w:p>
      <w:pPr>
        <w:numPr>
          <w:ilvl w:val="0"/>
          <w:numId w:val="10"/>
        </w:numPr>
        <w:spacing w:line="360" w:before="105" w:after="105" w:lineRule="auto"/>
      </w:pPr>
      <w:r>
        <w:rPr>
          <w:rFonts w:eastAsia="inter" w:cs="inter" w:ascii="inter" w:hAnsi="inter"/>
          <w:b/>
          <w:color w:val="000000"/>
          <w:sz w:val="21"/>
        </w:rPr>
        <w:t xml:space="preserve">IO Posting</w:t>
      </w:r>
      <w:r>
        <w:rPr>
          <w:rFonts w:eastAsia="inter" w:cs="inter" w:ascii="inter" w:hAnsi="inter"/>
          <w:color w:val="000000"/>
          <w:sz w:val="21"/>
        </w:rPr>
        <w:t xml:space="preserve">: Specific Impact Offers posted to CapX marketplace with detailed specifications</w:t>
      </w:r>
    </w:p>
    <w:p>
      <w:pPr>
        <w:numPr>
          <w:ilvl w:val="0"/>
          <w:numId w:val="10"/>
        </w:numPr>
        <w:spacing w:line="360" w:before="105" w:after="105" w:lineRule="auto"/>
      </w:pPr>
      <w:r>
        <w:rPr>
          <w:rFonts w:eastAsia="inter" w:cs="inter" w:ascii="inter" w:hAnsi="inter"/>
          <w:b/>
          <w:color w:val="000000"/>
          <w:sz w:val="21"/>
        </w:rPr>
        <w:t xml:space="preserve">MECO Formation</w:t>
      </w:r>
      <w:r>
        <w:rPr>
          <w:rFonts w:eastAsia="inter" w:cs="inter" w:ascii="inter" w:hAnsi="inter"/>
          <w:color w:val="000000"/>
          <w:sz w:val="21"/>
        </w:rPr>
        <w:t xml:space="preserve">: Members form MECOs specifically to bid on attractive IOs, or existing MECOs identify opportunities</w:t>
      </w:r>
    </w:p>
    <w:p>
      <w:pPr>
        <w:numPr>
          <w:ilvl w:val="0"/>
          <w:numId w:val="10"/>
        </w:numPr>
        <w:spacing w:line="360" w:before="105" w:after="105" w:lineRule="auto"/>
      </w:pPr>
      <w:r>
        <w:rPr>
          <w:rFonts w:eastAsia="inter" w:cs="inter" w:ascii="inter" w:hAnsi="inter"/>
          <w:b/>
          <w:color w:val="000000"/>
          <w:sz w:val="21"/>
        </w:rPr>
        <w:t xml:space="preserve">Faction Sponsorship</w:t>
      </w:r>
      <w:r>
        <w:rPr>
          <w:rFonts w:eastAsia="inter" w:cs="inter" w:ascii="inter" w:hAnsi="inter"/>
          <w:color w:val="000000"/>
          <w:sz w:val="21"/>
        </w:rPr>
        <w:t xml:space="preserve">: MECOs may seek endorsement from relevant factions (Union-PDT, Guild-PCT, Syndicate-PMT) for credibility and guidance</w:t>
      </w:r>
    </w:p>
    <w:p>
      <w:pPr>
        <w:numPr>
          <w:ilvl w:val="0"/>
          <w:numId w:val="10"/>
        </w:numPr>
        <w:spacing w:line="360" w:before="105" w:after="105" w:lineRule="auto"/>
      </w:pPr>
      <w:r>
        <w:rPr>
          <w:rFonts w:eastAsia="inter" w:cs="inter" w:ascii="inter" w:hAnsi="inter"/>
          <w:b/>
          <w:color w:val="000000"/>
          <w:sz w:val="21"/>
        </w:rPr>
        <w:t xml:space="preserve">Competitive Bidding</w:t>
      </w:r>
      <w:r>
        <w:rPr>
          <w:rFonts w:eastAsia="inter" w:cs="inter" w:ascii="inter" w:hAnsi="inter"/>
          <w:color w:val="000000"/>
          <w:sz w:val="21"/>
        </w:rPr>
        <w:t xml:space="preserve">: MECOs submit bids including pricing, timeline, team qualifications, and delivery methodology</w:t>
      </w:r>
    </w:p>
    <w:p>
      <w:pPr>
        <w:numPr>
          <w:ilvl w:val="0"/>
          <w:numId w:val="10"/>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C3 members vote on winning bids using 1-member-1-vote process through MEID verification</w:t>
      </w:r>
    </w:p>
    <w:p>
      <w:pPr>
        <w:numPr>
          <w:ilvl w:val="0"/>
          <w:numId w:val="10"/>
        </w:numPr>
        <w:spacing w:line="360" w:before="105" w:after="105" w:lineRule="auto"/>
      </w:pPr>
      <w:r>
        <w:rPr>
          <w:rFonts w:eastAsia="inter" w:cs="inter" w:ascii="inter" w:hAnsi="inter"/>
          <w:b/>
          <w:color w:val="000000"/>
          <w:sz w:val="21"/>
        </w:rPr>
        <w:t xml:space="preserve">Smart Contract Execution</w:t>
      </w:r>
      <w:r>
        <w:rPr>
          <w:rFonts w:eastAsia="inter" w:cs="inter" w:ascii="inter" w:hAnsi="inter"/>
          <w:color w:val="000000"/>
          <w:sz w:val="21"/>
        </w:rPr>
        <w:t xml:space="preserve">: Winning MECO receives JULZ payment and PPT allocation upon milestone completion</w:t>
      </w:r>
    </w:p>
    <w:p>
      <w:pPr>
        <w:spacing w:line="360" w:after="210" w:lineRule="auto"/>
      </w:pPr>
      <w:r>
        <w:rPr>
          <w:rFonts w:eastAsia="inter" w:cs="inter" w:ascii="inter" w:hAnsi="inter"/>
          <w:b/>
          <w:color w:val="000000"/>
        </w:rPr>
        <w:t xml:space="preserve">Faction Sponsorship Benefits</w:t>
      </w:r>
      <w:r>
        <w:rPr>
          <w:rFonts w:eastAsia="inter" w:cs="inter" w:ascii="inter" w:hAnsi="inter"/>
          <w:color w:val="000000"/>
        </w:rPr>
        <w:t xml:space="preserve">:</w:t>
      </w:r>
    </w:p>
    <w:p>
      <w:pPr>
        <w:numPr>
          <w:ilvl w:val="0"/>
          <w:numId w:val="11"/>
        </w:numPr>
        <w:spacing w:line="360" w:before="105" w:after="105" w:lineRule="auto"/>
      </w:pPr>
      <w:r>
        <w:rPr>
          <w:rFonts w:eastAsia="inter" w:cs="inter" w:ascii="inter" w:hAnsi="inter"/>
          <w:b/>
          <w:color w:val="000000"/>
          <w:sz w:val="21"/>
        </w:rPr>
        <w:t xml:space="preserve">Union Sponsorship</w:t>
      </w:r>
      <w:r>
        <w:rPr>
          <w:rFonts w:eastAsia="inter" w:cs="inter" w:ascii="inter" w:hAnsi="inter"/>
          <w:color w:val="000000"/>
          <w:sz w:val="21"/>
        </w:rPr>
        <w:t xml:space="preserve">: Access to skilled labor networks, quality assurance protocols, and worker protection advocacy</w:t>
      </w:r>
    </w:p>
    <w:p>
      <w:pPr>
        <w:numPr>
          <w:ilvl w:val="0"/>
          <w:numId w:val="11"/>
        </w:numPr>
        <w:spacing w:line="360" w:before="105" w:after="105" w:lineRule="auto"/>
      </w:pPr>
      <w:r>
        <w:rPr>
          <w:rFonts w:eastAsia="inter" w:cs="inter" w:ascii="inter" w:hAnsi="inter"/>
          <w:b/>
          <w:color w:val="000000"/>
          <w:sz w:val="21"/>
        </w:rPr>
        <w:t xml:space="preserve">Guild Sponsorship</w:t>
      </w:r>
      <w:r>
        <w:rPr>
          <w:rFonts w:eastAsia="inter" w:cs="inter" w:ascii="inter" w:hAnsi="inter"/>
          <w:color w:val="000000"/>
          <w:sz w:val="21"/>
        </w:rPr>
        <w:t xml:space="preserve">: Procurement guidance, resource allocation efficiency, and vendor relationship management</w:t>
      </w:r>
    </w:p>
    <w:p>
      <w:pPr>
        <w:numPr>
          <w:ilvl w:val="0"/>
          <w:numId w:val="11"/>
        </w:numPr>
        <w:spacing w:line="360" w:before="105" w:after="105" w:lineRule="auto"/>
      </w:pPr>
      <w:r>
        <w:rPr>
          <w:rFonts w:eastAsia="inter" w:cs="inter" w:ascii="inter" w:hAnsi="inter"/>
          <w:b/>
          <w:color w:val="000000"/>
          <w:sz w:val="21"/>
        </w:rPr>
        <w:t xml:space="preserve">Syndicate Sponsorship</w:t>
      </w:r>
      <w:r>
        <w:rPr>
          <w:rFonts w:eastAsia="inter" w:cs="inter" w:ascii="inter" w:hAnsi="inter"/>
          <w:color w:val="000000"/>
          <w:sz w:val="21"/>
        </w:rPr>
        <w:t xml:space="preserve">: Marketing support, partnership facilitation, and growth strategy consultation</w:t>
      </w:r>
    </w:p>
    <w:p>
      <w:pPr>
        <w:numPr>
          <w:ilvl w:val="0"/>
          <w:numId w:val="11"/>
        </w:numPr>
        <w:spacing w:line="360" w:before="105" w:after="105" w:lineRule="auto"/>
      </w:pPr>
      <w:r>
        <w:rPr>
          <w:rFonts w:eastAsia="inter" w:cs="inter" w:ascii="inter" w:hAnsi="inter"/>
          <w:b/>
          <w:color w:val="000000"/>
          <w:sz w:val="21"/>
        </w:rPr>
        <w:t xml:space="preserve">Cross-Faction Collaboration</w:t>
      </w:r>
      <w:r>
        <w:rPr>
          <w:rFonts w:eastAsia="inter" w:cs="inter" w:ascii="inter" w:hAnsi="inter"/>
          <w:color w:val="000000"/>
          <w:sz w:val="21"/>
        </w:rPr>
        <w:t xml:space="preserve">: MECOs may seek multiple faction endorsements for complex projects requiring diverse expertise</w:t>
      </w:r>
    </w:p>
    <w:p>
      <w:pPr>
        <w:spacing w:line="360" w:before="315" w:after="105" w:lineRule="auto"/>
        <w:ind w:left="-30"/>
        <w:jc w:val="left"/>
      </w:pPr>
      <w:r>
        <w:rPr>
          <w:rFonts w:eastAsia="inter" w:cs="inter" w:ascii="inter" w:hAnsi="inter"/>
          <w:b/>
          <w:color w:val="000000"/>
          <w:sz w:val="24"/>
        </w:rPr>
        <w:t xml:space="preserve">Governance Integration</w:t>
      </w:r>
    </w:p>
    <w:p>
      <w:pPr>
        <w:spacing w:line="360" w:after="210" w:lineRule="auto"/>
      </w:pPr>
      <w:r>
        <w:rPr>
          <w:rFonts w:eastAsia="inter" w:cs="inter" w:ascii="inter" w:hAnsi="inter"/>
          <w:b/>
          <w:color w:val="000000"/>
        </w:rPr>
        <w:t xml:space="preserve">MECO Autonomy vs. C3 Accountability</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MECOs operate as independent businesses with full internal decision-making authority[10][86]</w:t>
      </w:r>
    </w:p>
    <w:p>
      <w:pPr>
        <w:numPr>
          <w:ilvl w:val="0"/>
          <w:numId w:val="12"/>
        </w:numPr>
        <w:spacing w:line="360" w:before="105" w:after="105" w:lineRule="auto"/>
      </w:pPr>
      <w:r>
        <w:rPr>
          <w:rFonts w:eastAsia="inter" w:cs="inter" w:ascii="inter" w:hAnsi="inter"/>
          <w:color w:val="000000"/>
          <w:sz w:val="21"/>
        </w:rPr>
        <w:t xml:space="preserve">C3 oversight limited to IO delivery verification and community impact assessment</w:t>
      </w:r>
    </w:p>
    <w:p>
      <w:pPr>
        <w:numPr>
          <w:ilvl w:val="0"/>
          <w:numId w:val="12"/>
        </w:numPr>
        <w:spacing w:line="360" w:before="105" w:after="105" w:lineRule="auto"/>
      </w:pPr>
      <w:r>
        <w:rPr>
          <w:rFonts w:eastAsia="inter" w:cs="inter" w:ascii="inter" w:hAnsi="inter"/>
          <w:color w:val="000000"/>
          <w:sz w:val="21"/>
        </w:rPr>
        <w:t xml:space="preserve">MECOs may serve multiple C3s simultaneously, expanding market opportunities</w:t>
      </w:r>
    </w:p>
    <w:p>
      <w:pPr>
        <w:numPr>
          <w:ilvl w:val="0"/>
          <w:numId w:val="12"/>
        </w:numPr>
        <w:spacing w:line="360" w:before="105" w:after="105" w:lineRule="auto"/>
      </w:pPr>
      <w:r>
        <w:rPr>
          <w:rFonts w:eastAsia="inter" w:cs="inter" w:ascii="inter" w:hAnsi="inter"/>
          <w:color w:val="000000"/>
          <w:sz w:val="21"/>
        </w:rPr>
        <w:t xml:space="preserve">Conflict of interest policies prevent MECOs from advantaging specific C3s unfairly</w:t>
      </w:r>
    </w:p>
    <w:p>
      <w:pPr>
        <w:spacing w:line="360" w:after="210" w:lineRule="auto"/>
      </w:pPr>
      <w:r>
        <w:rPr>
          <w:rFonts w:eastAsia="inter" w:cs="inter" w:ascii="inter" w:hAnsi="inter"/>
          <w:b/>
          <w:color w:val="000000"/>
        </w:rPr>
        <w:t xml:space="preserve">Democratic Oversight</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color w:val="000000"/>
          <w:sz w:val="21"/>
        </w:rPr>
        <w:t xml:space="preserve">Regular performance reviews through C3 Judicial Loop for quality assurance</w:t>
      </w:r>
    </w:p>
    <w:p>
      <w:pPr>
        <w:numPr>
          <w:ilvl w:val="0"/>
          <w:numId w:val="13"/>
        </w:numPr>
        <w:spacing w:line="360" w:before="105" w:after="105" w:lineRule="auto"/>
      </w:pPr>
      <w:r>
        <w:rPr>
          <w:rFonts w:eastAsia="inter" w:cs="inter" w:ascii="inter" w:hAnsi="inter"/>
          <w:color w:val="000000"/>
          <w:sz w:val="21"/>
        </w:rPr>
        <w:t xml:space="preserve">Member feedback systems for MECO service delivery and community impact</w:t>
      </w:r>
    </w:p>
    <w:p>
      <w:pPr>
        <w:numPr>
          <w:ilvl w:val="0"/>
          <w:numId w:val="13"/>
        </w:numPr>
        <w:spacing w:line="360" w:before="105" w:after="105" w:lineRule="auto"/>
      </w:pPr>
      <w:r>
        <w:rPr>
          <w:rFonts w:eastAsia="inter" w:cs="inter" w:ascii="inter" w:hAnsi="inter"/>
          <w:color w:val="000000"/>
          <w:sz w:val="21"/>
        </w:rPr>
        <w:t xml:space="preserve">Transparent reporting requirements for JULZ usage and PPT distribution</w:t>
      </w:r>
    </w:p>
    <w:p>
      <w:pPr>
        <w:numPr>
          <w:ilvl w:val="0"/>
          <w:numId w:val="13"/>
        </w:numPr>
        <w:spacing w:line="360" w:before="105" w:after="105" w:lineRule="auto"/>
      </w:pPr>
      <w:r>
        <w:rPr>
          <w:rFonts w:eastAsia="inter" w:cs="inter" w:ascii="inter" w:hAnsi="inter"/>
          <w:color w:val="000000"/>
          <w:sz w:val="21"/>
        </w:rPr>
        <w:t xml:space="preserve">Appeal mechanisms for disputes between MECOs and C3 governance</w:t>
      </w:r>
    </w:p>
    <w:p>
      <w:pPr>
        <w:spacing w:line="360" w:before="315" w:after="105" w:lineRule="auto"/>
        <w:ind w:left="-30"/>
        <w:jc w:val="left"/>
      </w:pPr>
      <w:r>
        <w:rPr>
          <w:rFonts w:eastAsia="inter" w:cs="inter" w:ascii="inter" w:hAnsi="inter"/>
          <w:b/>
          <w:color w:val="000000"/>
          <w:sz w:val="24"/>
        </w:rPr>
        <w:t xml:space="preserve">Technical Implementation</w:t>
      </w:r>
    </w:p>
    <w:p>
      <w:pPr>
        <w:spacing w:line="360" w:after="210" w:lineRule="auto"/>
      </w:pPr>
      <w:r>
        <w:rPr>
          <w:rFonts w:eastAsia="inter" w:cs="inter" w:ascii="inter" w:hAnsi="inter"/>
          <w:b/>
          <w:color w:val="000000"/>
        </w:rPr>
        <w:t xml:space="preserve">Smart Contract Integration</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color w:val="000000"/>
          <w:sz w:val="21"/>
        </w:rPr>
        <w:t xml:space="preserve">MECO DID registration and verification through Hyperledger Identus[27][30]</w:t>
      </w:r>
    </w:p>
    <w:p>
      <w:pPr>
        <w:numPr>
          <w:ilvl w:val="0"/>
          <w:numId w:val="14"/>
        </w:numPr>
        <w:spacing w:line="360" w:before="105" w:after="105" w:lineRule="auto"/>
      </w:pPr>
      <w:r>
        <w:rPr>
          <w:rFonts w:eastAsia="inter" w:cs="inter" w:ascii="inter" w:hAnsi="inter"/>
          <w:color w:val="000000"/>
          <w:sz w:val="21"/>
        </w:rPr>
        <w:t xml:space="preserve">Automated milestone payments via Cardano smart contracts upon delivery confirmation</w:t>
      </w:r>
    </w:p>
    <w:p>
      <w:pPr>
        <w:numPr>
          <w:ilvl w:val="0"/>
          <w:numId w:val="14"/>
        </w:numPr>
        <w:spacing w:line="360" w:before="105" w:after="105" w:lineRule="auto"/>
      </w:pPr>
      <w:r>
        <w:rPr>
          <w:rFonts w:eastAsia="inter" w:cs="inter" w:ascii="inter" w:hAnsi="inter"/>
          <w:color w:val="000000"/>
          <w:sz w:val="21"/>
        </w:rPr>
        <w:t xml:space="preserve">PPT minting and distribution according to faction-specific contribution metrics</w:t>
      </w:r>
    </w:p>
    <w:p>
      <w:pPr>
        <w:numPr>
          <w:ilvl w:val="0"/>
          <w:numId w:val="14"/>
        </w:numPr>
        <w:spacing w:line="360" w:before="105" w:after="105" w:lineRule="auto"/>
      </w:pPr>
      <w:r>
        <w:rPr>
          <w:rFonts w:eastAsia="inter" w:cs="inter" w:ascii="inter" w:hAnsi="inter"/>
          <w:color w:val="000000"/>
          <w:sz w:val="21"/>
        </w:rPr>
        <w:t xml:space="preserve">Multisig wallet coordination with C3 treasury for seamless financial operations</w:t>
      </w:r>
    </w:p>
    <w:p>
      <w:pPr>
        <w:spacing w:line="360" w:after="210" w:lineRule="auto"/>
      </w:pPr>
      <w:r>
        <w:rPr>
          <w:rFonts w:eastAsia="inter" w:cs="inter" w:ascii="inter" w:hAnsi="inter"/>
          <w:b/>
          <w:color w:val="000000"/>
        </w:rPr>
        <w:t xml:space="preserve">Privacy and Security</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color w:val="000000"/>
          <w:sz w:val="21"/>
        </w:rPr>
        <w:t xml:space="preserve">Midnight Network integration for business-sensitive information protection[9][12]</w:t>
      </w:r>
    </w:p>
    <w:p>
      <w:pPr>
        <w:numPr>
          <w:ilvl w:val="0"/>
          <w:numId w:val="15"/>
        </w:numPr>
        <w:spacing w:line="360" w:before="105" w:after="105" w:lineRule="auto"/>
      </w:pPr>
      <w:r>
        <w:rPr>
          <w:rFonts w:eastAsia="inter" w:cs="inter" w:ascii="inter" w:hAnsi="inter"/>
          <w:color w:val="000000"/>
          <w:sz w:val="21"/>
        </w:rPr>
        <w:t xml:space="preserve">Selective disclosure protocols for competitive bidding and proprietary methodologies</w:t>
      </w:r>
    </w:p>
    <w:p>
      <w:pPr>
        <w:numPr>
          <w:ilvl w:val="0"/>
          <w:numId w:val="15"/>
        </w:numPr>
        <w:spacing w:line="360" w:before="105" w:after="105" w:lineRule="auto"/>
      </w:pPr>
      <w:r>
        <w:rPr>
          <w:rFonts w:eastAsia="inter" w:cs="inter" w:ascii="inter" w:hAnsi="inter"/>
          <w:color w:val="000000"/>
          <w:sz w:val="21"/>
        </w:rPr>
        <w:t xml:space="preserve">Encrypted communication channels for MECO internal coordination</w:t>
      </w:r>
    </w:p>
    <w:p>
      <w:pPr>
        <w:numPr>
          <w:ilvl w:val="0"/>
          <w:numId w:val="15"/>
        </w:numPr>
        <w:spacing w:line="360" w:before="105" w:after="105" w:lineRule="auto"/>
      </w:pPr>
      <w:r>
        <w:rPr>
          <w:rFonts w:eastAsia="inter" w:cs="inter" w:ascii="inter" w:hAnsi="inter"/>
          <w:color w:val="000000"/>
          <w:sz w:val="21"/>
        </w:rPr>
        <w:t xml:space="preserve">Audit trails for C3 transparency while protecting MECO trade secrets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Updated Ecosystem Flow</w:t>
      </w:r>
    </w:p>
    <w:p>
      <w:pPr>
        <w:spacing w:line="360" w:before="315" w:after="105" w:lineRule="auto"/>
        <w:ind w:left="-30"/>
        <w:jc w:val="left"/>
      </w:pPr>
      <w:r>
        <w:rPr>
          <w:rFonts w:eastAsia="inter" w:cs="inter" w:ascii="inter" w:hAnsi="inter"/>
          <w:b/>
          <w:color w:val="000000"/>
          <w:sz w:val="24"/>
        </w:rPr>
        <w:t xml:space="preserve">Complete Process Overview</w:t>
      </w:r>
    </w:p>
    <w:p>
      <w:pPr>
        <w:numPr>
          <w:ilvl w:val="0"/>
          <w:numId w:val="16"/>
        </w:numPr>
        <w:spacing w:line="360" w:before="105" w:after="105" w:lineRule="auto"/>
      </w:pPr>
      <w:r>
        <w:rPr>
          <w:rFonts w:eastAsia="inter" w:cs="inter" w:ascii="inter" w:hAnsi="inter"/>
          <w:b/>
          <w:color w:val="000000"/>
          <w:sz w:val="21"/>
        </w:rPr>
        <w:t xml:space="preserve">Member Innovation</w:t>
      </w:r>
      <w:r>
        <w:rPr>
          <w:rFonts w:eastAsia="inter" w:cs="inter" w:ascii="inter" w:hAnsi="inter"/>
          <w:color w:val="000000"/>
          <w:sz w:val="21"/>
        </w:rPr>
        <w:t xml:space="preserve">: Individual members identify community needs and propose Impact Quests (IQs)</w:t>
      </w:r>
    </w:p>
    <w:p>
      <w:pPr>
        <w:numPr>
          <w:ilvl w:val="0"/>
          <w:numId w:val="16"/>
        </w:numPr>
        <w:spacing w:line="360" w:before="105" w:after="105" w:lineRule="auto"/>
      </w:pPr>
      <w:r>
        <w:rPr>
          <w:rFonts w:eastAsia="inter" w:cs="inter" w:ascii="inter" w:hAnsi="inter"/>
          <w:b/>
          <w:color w:val="000000"/>
          <w:sz w:val="21"/>
        </w:rPr>
        <w:t xml:space="preserve">Democratic Prioritization</w:t>
      </w:r>
      <w:r>
        <w:rPr>
          <w:rFonts w:eastAsia="inter" w:cs="inter" w:ascii="inter" w:hAnsi="inter"/>
          <w:color w:val="000000"/>
          <w:sz w:val="21"/>
        </w:rPr>
        <w:t xml:space="preserve">: C3 Legislative Loop reviews and approves IQs with budget allocation</w:t>
      </w:r>
    </w:p>
    <w:p>
      <w:pPr>
        <w:numPr>
          <w:ilvl w:val="0"/>
          <w:numId w:val="16"/>
        </w:numPr>
        <w:spacing w:line="360" w:before="105" w:after="105" w:lineRule="auto"/>
      </w:pPr>
      <w:r>
        <w:rPr>
          <w:rFonts w:eastAsia="inter" w:cs="inter" w:ascii="inter" w:hAnsi="inter"/>
          <w:b/>
          <w:color w:val="000000"/>
          <w:sz w:val="21"/>
        </w:rPr>
        <w:t xml:space="preserve">Market Creation</w:t>
      </w:r>
      <w:r>
        <w:rPr>
          <w:rFonts w:eastAsia="inter" w:cs="inter" w:ascii="inter" w:hAnsi="inter"/>
          <w:color w:val="000000"/>
          <w:sz w:val="21"/>
        </w:rPr>
        <w:t xml:space="preserve">: Approved IQs generate specific Impact Offers (IOs) posted to CapX marketplace</w:t>
      </w:r>
    </w:p>
    <w:p>
      <w:pPr>
        <w:numPr>
          <w:ilvl w:val="0"/>
          <w:numId w:val="16"/>
        </w:numPr>
        <w:spacing w:line="360" w:before="105" w:after="105" w:lineRule="auto"/>
      </w:pPr>
      <w:r>
        <w:rPr>
          <w:rFonts w:eastAsia="inter" w:cs="inter" w:ascii="inter" w:hAnsi="inter"/>
          <w:b/>
          <w:color w:val="000000"/>
          <w:sz w:val="21"/>
        </w:rPr>
        <w:t xml:space="preserve">Entrepreneurial Response</w:t>
      </w:r>
      <w:r>
        <w:rPr>
          <w:rFonts w:eastAsia="inter" w:cs="inter" w:ascii="inter" w:hAnsi="inter"/>
          <w:color w:val="000000"/>
          <w:sz w:val="21"/>
        </w:rPr>
        <w:t xml:space="preserve">: Members form MECOs to bid on attractive opportunities, leveraging faction expertise</w:t>
      </w:r>
    </w:p>
    <w:p>
      <w:pPr>
        <w:numPr>
          <w:ilvl w:val="0"/>
          <w:numId w:val="16"/>
        </w:numPr>
        <w:spacing w:line="360" w:before="105" w:after="105" w:lineRule="auto"/>
      </w:pPr>
      <w:r>
        <w:rPr>
          <w:rFonts w:eastAsia="inter" w:cs="inter" w:ascii="inter" w:hAnsi="inter"/>
          <w:b/>
          <w:color w:val="000000"/>
          <w:sz w:val="21"/>
        </w:rPr>
        <w:t xml:space="preserve">Competitive Selection</w:t>
      </w:r>
      <w:r>
        <w:rPr>
          <w:rFonts w:eastAsia="inter" w:cs="inter" w:ascii="inter" w:hAnsi="inter"/>
          <w:color w:val="000000"/>
          <w:sz w:val="21"/>
        </w:rPr>
        <w:t xml:space="preserve">: Democratic bidding process ensures best value for community treasury investment</w:t>
      </w:r>
    </w:p>
    <w:p>
      <w:pPr>
        <w:numPr>
          <w:ilvl w:val="0"/>
          <w:numId w:val="16"/>
        </w:numPr>
        <w:spacing w:line="360" w:before="105" w:after="105" w:lineRule="auto"/>
      </w:pPr>
      <w:r>
        <w:rPr>
          <w:rFonts w:eastAsia="inter" w:cs="inter" w:ascii="inter" w:hAnsi="inter"/>
          <w:b/>
          <w:color w:val="000000"/>
          <w:sz w:val="21"/>
        </w:rPr>
        <w:t xml:space="preserve">Professional Delivery</w:t>
      </w:r>
      <w:r>
        <w:rPr>
          <w:rFonts w:eastAsia="inter" w:cs="inter" w:ascii="inter" w:hAnsi="inter"/>
          <w:color w:val="000000"/>
          <w:sz w:val="21"/>
        </w:rPr>
        <w:t xml:space="preserve">: MECOs deliver services as independent businesses while maintaining C3 ecosystem integration</w:t>
      </w:r>
    </w:p>
    <w:p>
      <w:pPr>
        <w:numPr>
          <w:ilvl w:val="0"/>
          <w:numId w:val="16"/>
        </w:numPr>
        <w:spacing w:line="360" w:before="105" w:after="105" w:lineRule="auto"/>
      </w:pPr>
      <w:r>
        <w:rPr>
          <w:rFonts w:eastAsia="inter" w:cs="inter" w:ascii="inter" w:hAnsi="inter"/>
          <w:b/>
          <w:color w:val="000000"/>
          <w:sz w:val="21"/>
        </w:rPr>
        <w:t xml:space="preserve">Value Distribution</w:t>
      </w:r>
      <w:r>
        <w:rPr>
          <w:rFonts w:eastAsia="inter" w:cs="inter" w:ascii="inter" w:hAnsi="inter"/>
          <w:color w:val="000000"/>
          <w:sz w:val="21"/>
        </w:rPr>
        <w:t xml:space="preserve">: Successful delivery generates JULZ compensation and PPT rewards, with Founders Reserve bonus for MECO leadership</w:t>
      </w:r>
    </w:p>
    <w:p>
      <w:pPr>
        <w:numPr>
          <w:ilvl w:val="0"/>
          <w:numId w:val="16"/>
        </w:numPr>
        <w:spacing w:line="360" w:before="105" w:after="105" w:lineRule="auto"/>
      </w:pPr>
      <w:r>
        <w:rPr>
          <w:rFonts w:eastAsia="inter" w:cs="inter" w:ascii="inter" w:hAnsi="inter"/>
          <w:b/>
          <w:color w:val="000000"/>
          <w:sz w:val="21"/>
        </w:rPr>
        <w:t xml:space="preserve">Community Benefit</w:t>
      </w:r>
      <w:r>
        <w:rPr>
          <w:rFonts w:eastAsia="inter" w:cs="inter" w:ascii="inter" w:hAnsi="inter"/>
          <w:color w:val="000000"/>
          <w:sz w:val="21"/>
        </w:rPr>
        <w:t xml:space="preserve">: Services delivered enhance C3 infrastructure and member sovereignty capabilities</w:t>
      </w:r>
    </w:p>
    <w:p>
      <w:pPr>
        <w:spacing w:line="360" w:before="315" w:after="105" w:lineRule="auto"/>
        <w:ind w:left="-30"/>
        <w:jc w:val="left"/>
      </w:pPr>
      <w:r>
        <w:rPr>
          <w:rFonts w:eastAsia="inter" w:cs="inter" w:ascii="inter" w:hAnsi="inter"/>
          <w:b/>
          <w:color w:val="000000"/>
          <w:sz w:val="24"/>
        </w:rPr>
        <w:t xml:space="preserve">Economic Incentives Alignment</w:t>
      </w:r>
    </w:p>
    <w:p>
      <w:pPr>
        <w:spacing w:line="360" w:after="210" w:lineRule="auto"/>
      </w:pPr>
      <w:r>
        <w:rPr>
          <w:rFonts w:eastAsia="inter" w:cs="inter" w:ascii="inter" w:hAnsi="inter"/>
          <w:b/>
          <w:color w:val="000000"/>
        </w:rPr>
        <w:t xml:space="preserve">Individual Members</w:t>
      </w:r>
      <w:r>
        <w:rPr>
          <w:rFonts w:eastAsia="inter" w:cs="inter" w:ascii="inter" w:hAnsi="inter"/>
          <w:color w:val="000000"/>
        </w:rPr>
        <w:t xml:space="preserve">: Participate in governance, propose IQs, join or form MECOs for income opportunities</w:t>
      </w:r>
      <w:r>
        <w:rPr>
          <w:rFonts w:eastAsia="inter" w:cs="inter" w:ascii="inter" w:hAnsi="inter"/>
          <w:color w:val="000000"/>
        </w:rPr>
        <w:br w:type="textWrapping"/>
      </w:r>
      <w:r>
        <w:rPr>
          <w:rFonts w:eastAsia="inter" w:cs="inter" w:ascii="inter" w:hAnsi="inter"/>
          <w:b/>
          <w:color w:val="000000"/>
        </w:rPr>
        <w:t xml:space="preserve">MECO Founders</w:t>
      </w:r>
      <w:r>
        <w:rPr>
          <w:rFonts w:eastAsia="inter" w:cs="inter" w:ascii="inter" w:hAnsi="inter"/>
          <w:color w:val="000000"/>
        </w:rPr>
        <w:t xml:space="preserve">: Enhanced compensation recognizing entrepreneurial risk and business development leadership</w:t>
      </w:r>
      <w:r>
        <w:rPr>
          <w:rFonts w:eastAsia="inter" w:cs="inter" w:ascii="inter" w:hAnsi="inter"/>
          <w:color w:val="000000"/>
        </w:rPr>
        <w:br w:type="textWrapping"/>
      </w:r>
      <w:r>
        <w:rPr>
          <w:rFonts w:eastAsia="inter" w:cs="inter" w:ascii="inter" w:hAnsi="inter"/>
          <w:b/>
          <w:color w:val="000000"/>
        </w:rPr>
        <w:t xml:space="preserve">Factions</w:t>
      </w:r>
      <w:r>
        <w:rPr>
          <w:rFonts w:eastAsia="inter" w:cs="inter" w:ascii="inter" w:hAnsi="inter"/>
          <w:color w:val="000000"/>
        </w:rPr>
        <w:t xml:space="preserve">: Sponsor successful MECOs to demonstrate value delivery and attract new members</w:t>
      </w:r>
      <w:r>
        <w:rPr>
          <w:rFonts w:eastAsia="inter" w:cs="inter" w:ascii="inter" w:hAnsi="inter"/>
          <w:color w:val="000000"/>
        </w:rPr>
        <w:br w:type="textWrapping"/>
      </w:r>
      <w:r>
        <w:rPr>
          <w:rFonts w:eastAsia="inter" w:cs="inter" w:ascii="inter" w:hAnsi="inter"/>
          <w:b/>
          <w:color w:val="000000"/>
        </w:rPr>
        <w:t xml:space="preserve">C3 Community</w:t>
      </w:r>
      <w:r>
        <w:rPr>
          <w:rFonts w:eastAsia="inter" w:cs="inter" w:ascii="inter" w:hAnsi="inter"/>
          <w:color w:val="000000"/>
        </w:rPr>
        <w:t xml:space="preserve">: Receives professional service delivery at competitive rates while supporting member economic development</w:t>
      </w:r>
      <w:r>
        <w:rPr>
          <w:rFonts w:eastAsia="inter" w:cs="inter" w:ascii="inter" w:hAnsi="inter"/>
          <w:color w:val="000000"/>
        </w:rPr>
        <w:br w:type="textWrapping"/>
      </w:r>
      <w:r>
        <w:rPr>
          <w:rFonts w:eastAsia="inter" w:cs="inter" w:ascii="inter" w:hAnsi="inter"/>
          <w:b/>
          <w:color w:val="000000"/>
        </w:rPr>
        <w:t xml:space="preserve">Alliance Ecosystem</w:t>
      </w:r>
      <w:r>
        <w:rPr>
          <w:rFonts w:eastAsia="inter" w:cs="inter" w:ascii="inter" w:hAnsi="inter"/>
          <w:color w:val="000000"/>
        </w:rPr>
        <w:t xml:space="preserve">: Cross-pollination of successful MECOs across multiple C3s creates innovation network effects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Legal and Regulatory Considerations</w:t>
      </w:r>
    </w:p>
    <w:p>
      <w:pPr>
        <w:spacing w:line="360" w:before="315" w:after="105" w:lineRule="auto"/>
        <w:ind w:left="-30"/>
        <w:jc w:val="left"/>
      </w:pPr>
      <w:r>
        <w:rPr>
          <w:rFonts w:eastAsia="inter" w:cs="inter" w:ascii="inter" w:hAnsi="inter"/>
          <w:b/>
          <w:color w:val="000000"/>
          <w:sz w:val="24"/>
        </w:rPr>
        <w:t xml:space="preserve">Compliance Framework</w:t>
      </w:r>
    </w:p>
    <w:p>
      <w:pPr>
        <w:spacing w:line="360" w:after="210" w:lineRule="auto"/>
      </w:pPr>
      <w:r>
        <w:rPr>
          <w:rFonts w:eastAsia="inter" w:cs="inter" w:ascii="inter" w:hAnsi="inter"/>
          <w:b/>
          <w:color w:val="000000"/>
        </w:rPr>
        <w:t xml:space="preserve">Wyoming DAO LLC Requirements</w:t>
      </w:r>
      <w:r>
        <w:rPr>
          <w:rFonts w:eastAsia="inter" w:cs="inter" w:ascii="inter" w:hAnsi="inter"/>
          <w:color w:val="000000"/>
        </w:rPr>
        <w:t xml:space="preserve">[10][85]:</w:t>
      </w:r>
    </w:p>
    <w:p>
      <w:pPr>
        <w:numPr>
          <w:ilvl w:val="0"/>
          <w:numId w:val="17"/>
        </w:numPr>
        <w:spacing w:line="360" w:before="105" w:after="105" w:lineRule="auto"/>
      </w:pPr>
      <w:r>
        <w:rPr>
          <w:rFonts w:eastAsia="inter" w:cs="inter" w:ascii="inter" w:hAnsi="inter"/>
          <w:color w:val="000000"/>
          <w:sz w:val="21"/>
        </w:rPr>
        <w:t xml:space="preserve">Articles of Organization must specify DAO status and management structure[10]</w:t>
      </w:r>
    </w:p>
    <w:p>
      <w:pPr>
        <w:numPr>
          <w:ilvl w:val="0"/>
          <w:numId w:val="17"/>
        </w:numPr>
        <w:spacing w:line="360" w:before="105" w:after="105" w:lineRule="auto"/>
      </w:pPr>
      <w:r>
        <w:rPr>
          <w:rFonts w:eastAsia="inter" w:cs="inter" w:ascii="inter" w:hAnsi="inter"/>
          <w:color w:val="000000"/>
          <w:sz w:val="21"/>
        </w:rPr>
        <w:t xml:space="preserve">Operating Agreement bridges blockchain governance with legal entity requirements[86]</w:t>
      </w:r>
    </w:p>
    <w:p>
      <w:pPr>
        <w:numPr>
          <w:ilvl w:val="0"/>
          <w:numId w:val="17"/>
        </w:numPr>
        <w:spacing w:line="360" w:before="105" w:after="105" w:lineRule="auto"/>
      </w:pPr>
      <w:r>
        <w:rPr>
          <w:rFonts w:eastAsia="inter" w:cs="inter" w:ascii="inter" w:hAnsi="inter"/>
          <w:color w:val="000000"/>
          <w:sz w:val="21"/>
        </w:rPr>
        <w:t xml:space="preserve">Corporate Transparency Act compliance for beneficial ownership reporting[10]</w:t>
      </w:r>
    </w:p>
    <w:p>
      <w:pPr>
        <w:numPr>
          <w:ilvl w:val="0"/>
          <w:numId w:val="17"/>
        </w:numPr>
        <w:spacing w:line="360" w:before="105" w:after="105" w:lineRule="auto"/>
      </w:pPr>
      <w:r>
        <w:rPr>
          <w:rFonts w:eastAsia="inter" w:cs="inter" w:ascii="inter" w:hAnsi="inter"/>
          <w:color w:val="000000"/>
          <w:sz w:val="21"/>
        </w:rPr>
        <w:t xml:space="preserve">Annual reporting requirements to maintain good standing with Wyoming Secretary of State</w:t>
      </w:r>
    </w:p>
    <w:p>
      <w:pPr>
        <w:spacing w:line="360" w:after="210" w:lineRule="auto"/>
      </w:pPr>
      <w:r>
        <w:rPr>
          <w:rFonts w:eastAsia="inter" w:cs="inter" w:ascii="inter" w:hAnsi="inter"/>
          <w:b/>
          <w:color w:val="000000"/>
        </w:rPr>
        <w:t xml:space="preserve">Multi-Jurisdictional Operations</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color w:val="000000"/>
          <w:sz w:val="21"/>
        </w:rPr>
        <w:t xml:space="preserve">TIN registration required in each jurisdiction where MECO conducts business</w:t>
      </w:r>
    </w:p>
    <w:p>
      <w:pPr>
        <w:numPr>
          <w:ilvl w:val="0"/>
          <w:numId w:val="18"/>
        </w:numPr>
        <w:spacing w:line="360" w:before="105" w:after="105" w:lineRule="auto"/>
      </w:pPr>
      <w:r>
        <w:rPr>
          <w:rFonts w:eastAsia="inter" w:cs="inter" w:ascii="inter" w:hAnsi="inter"/>
          <w:color w:val="000000"/>
          <w:sz w:val="21"/>
        </w:rPr>
        <w:t xml:space="preserve">Transfer pricing considerations for inter-C3 MECO service delivery</w:t>
      </w:r>
    </w:p>
    <w:p>
      <w:pPr>
        <w:numPr>
          <w:ilvl w:val="0"/>
          <w:numId w:val="18"/>
        </w:numPr>
        <w:spacing w:line="360" w:before="105" w:after="105" w:lineRule="auto"/>
      </w:pPr>
      <w:r>
        <w:rPr>
          <w:rFonts w:eastAsia="inter" w:cs="inter" w:ascii="inter" w:hAnsi="inter"/>
          <w:color w:val="000000"/>
          <w:sz w:val="21"/>
        </w:rPr>
        <w:t xml:space="preserve">Intellectual property protection across international boundaries</w:t>
      </w:r>
    </w:p>
    <w:p>
      <w:pPr>
        <w:numPr>
          <w:ilvl w:val="0"/>
          <w:numId w:val="18"/>
        </w:numPr>
        <w:spacing w:line="360" w:before="105" w:after="105" w:lineRule="auto"/>
      </w:pPr>
      <w:r>
        <w:rPr>
          <w:rFonts w:eastAsia="inter" w:cs="inter" w:ascii="inter" w:hAnsi="inter"/>
          <w:color w:val="000000"/>
          <w:sz w:val="21"/>
        </w:rPr>
        <w:t xml:space="preserve">Employment law compliance for MECOs hiring outside the C3 ecosystem</w:t>
      </w:r>
    </w:p>
    <w:p>
      <w:pPr>
        <w:spacing w:line="360" w:before="315" w:after="105" w:lineRule="auto"/>
        <w:ind w:left="-30"/>
        <w:jc w:val="left"/>
      </w:pPr>
      <w:r>
        <w:rPr>
          <w:rFonts w:eastAsia="inter" w:cs="inter" w:ascii="inter" w:hAnsi="inter"/>
          <w:b/>
          <w:color w:val="000000"/>
          <w:sz w:val="24"/>
        </w:rPr>
        <w:t xml:space="preserve">Risk Management</w:t>
      </w:r>
    </w:p>
    <w:p>
      <w:pPr>
        <w:spacing w:line="360" w:after="210" w:lineRule="auto"/>
      </w:pPr>
      <w:r>
        <w:rPr>
          <w:rFonts w:eastAsia="inter" w:cs="inter" w:ascii="inter" w:hAnsi="inter"/>
          <w:b/>
          <w:color w:val="000000"/>
        </w:rPr>
        <w:t xml:space="preserve">Limited Liability Protection</w:t>
      </w:r>
      <w:r>
        <w:rPr>
          <w:rFonts w:eastAsia="inter" w:cs="inter" w:ascii="inter" w:hAnsi="inter"/>
          <w:color w:val="000000"/>
        </w:rPr>
        <w:t xml:space="preserve">: Wyoming DAO LLC structure protects founding members from unlimited liability[10][84]</w:t>
      </w:r>
      <w:r>
        <w:rPr>
          <w:rFonts w:eastAsia="inter" w:cs="inter" w:ascii="inter" w:hAnsi="inter"/>
          <w:color w:val="000000"/>
        </w:rPr>
        <w:br w:type="textWrapping"/>
      </w:r>
      <w:r>
        <w:rPr>
          <w:rFonts w:eastAsia="inter" w:cs="inter" w:ascii="inter" w:hAnsi="inter"/>
          <w:b/>
          <w:color w:val="000000"/>
        </w:rPr>
        <w:t xml:space="preserve">Fiduciary Duty Limitations</w:t>
      </w:r>
      <w:r>
        <w:rPr>
          <w:rFonts w:eastAsia="inter" w:cs="inter" w:ascii="inter" w:hAnsi="inter"/>
          <w:color w:val="000000"/>
        </w:rPr>
        <w:t xml:space="preserve">: Members have no fiduciary duties except good faith and fair dealing[10]</w:t>
      </w:r>
      <w:r>
        <w:rPr>
          <w:rFonts w:eastAsia="inter" w:cs="inter" w:ascii="inter" w:hAnsi="inter"/>
          <w:color w:val="000000"/>
        </w:rPr>
        <w:br w:type="textWrapping"/>
      </w:r>
      <w:r>
        <w:rPr>
          <w:rFonts w:eastAsia="inter" w:cs="inter" w:ascii="inter" w:hAnsi="inter"/>
          <w:b/>
          <w:color w:val="000000"/>
        </w:rPr>
        <w:t xml:space="preserve">Constitutional Rights</w:t>
      </w:r>
      <w:r>
        <w:rPr>
          <w:rFonts w:eastAsia="inter" w:cs="inter" w:ascii="inter" w:hAnsi="inter"/>
          <w:color w:val="000000"/>
        </w:rPr>
        <w:t xml:space="preserve">: C3 Bill of Rights protects individual MEIDs even when participating in MECOs</w:t>
      </w:r>
      <w:r>
        <w:rPr>
          <w:rFonts w:eastAsia="inter" w:cs="inter" w:ascii="inter" w:hAnsi="inter"/>
          <w:color w:val="000000"/>
        </w:rPr>
        <w:br w:type="textWrapping"/>
      </w:r>
      <w:r>
        <w:rPr>
          <w:rFonts w:eastAsia="inter" w:cs="inter" w:ascii="inter" w:hAnsi="inter"/>
          <w:b/>
          <w:color w:val="000000"/>
        </w:rPr>
        <w:t xml:space="preserve">Exit Mechanisms</w:t>
      </w:r>
      <w:r>
        <w:rPr>
          <w:rFonts w:eastAsia="inter" w:cs="inter" w:ascii="inter" w:hAnsi="inter"/>
          <w:color w:val="000000"/>
        </w:rPr>
        <w:t xml:space="preserve">: Clear procedures for MECO dissolution and founder departure with appropriate compensation</w:t>
      </w:r>
    </w:p>
    <w:p>
      <w:pPr>
        <w:spacing w:line="360" w:after="210" w:lineRule="auto"/>
      </w:pPr>
      <w:r>
        <w:rPr>
          <w:rFonts w:eastAsia="inter" w:cs="inter" w:ascii="inter" w:hAnsi="inter"/>
          <w:color w:val="000000"/>
        </w:rPr>
        <w:t xml:space="preserve">This enhanced framework creates a robust entrepreneurial ecosystem within the C3 Alliance, enabling members to form professional service companies while maintaining cooperative principles and democratic governance. MECOs serve as the economic engine for delivering infrastructure services while preserving individual sovereignty and community benefit.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Integration Note</w:t>
      </w:r>
      <w:r>
        <w:rPr>
          <w:rFonts w:eastAsia="inter" w:cs="inter" w:ascii="inter" w:hAnsi="inter"/>
          <w:color w:val="000000"/>
        </w:rPr>
        <w:t xml:space="preserve">: This MECO framework requires updates to the main C3 Alliance whitepaper to reflect the two-tier governance structure (IQ→IO) and the role of Member Entity Companies in service delivery. The Bill of Rights should also be updated to address MECO formation rights and protections for entrepreneurial members.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2025-09-06T15:12:22.265Z</dcterms:created>
  <dcterms:modified xsi:type="dcterms:W3CDTF">2025-09-06T15:12:22.265Z</dcterms:modified>
</cp:coreProperties>
</file>